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DC18"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1729FC68" w14:textId="77777777" w:rsidTr="005F7F7E">
        <w:tc>
          <w:tcPr>
            <w:tcW w:w="2438" w:type="dxa"/>
            <w:shd w:val="clear" w:color="auto" w:fill="auto"/>
          </w:tcPr>
          <w:p w14:paraId="08045FC3"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2ADA638E" w14:textId="77777777" w:rsidR="00F445B1" w:rsidRPr="00F95BC9" w:rsidRDefault="00E33416" w:rsidP="004A6D2F">
            <w:pPr>
              <w:rPr>
                <w:rStyle w:val="Firstpagetablebold"/>
              </w:rPr>
            </w:pPr>
            <w:r>
              <w:rPr>
                <w:rStyle w:val="Firstpagetablebold"/>
              </w:rPr>
              <w:t>Audit and Governance Committee</w:t>
            </w:r>
          </w:p>
        </w:tc>
      </w:tr>
      <w:tr w:rsidR="00CE544A" w:rsidRPr="00975B07" w14:paraId="196EB1E6" w14:textId="77777777" w:rsidTr="005F7F7E">
        <w:tc>
          <w:tcPr>
            <w:tcW w:w="2438" w:type="dxa"/>
            <w:shd w:val="clear" w:color="auto" w:fill="auto"/>
          </w:tcPr>
          <w:p w14:paraId="40C4CFA3"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95E8059" w14:textId="55A4E955" w:rsidR="00F445B1" w:rsidRPr="001356F1" w:rsidRDefault="00A84C0F" w:rsidP="00FB3DC5">
            <w:pPr>
              <w:rPr>
                <w:b/>
              </w:rPr>
            </w:pPr>
            <w:r>
              <w:rPr>
                <w:rStyle w:val="Firstpagetablebold"/>
              </w:rPr>
              <w:t>2</w:t>
            </w:r>
            <w:r w:rsidR="00A411A3">
              <w:rPr>
                <w:rStyle w:val="Firstpagetablebold"/>
              </w:rPr>
              <w:t>0</w:t>
            </w:r>
            <w:r w:rsidRPr="00A84C0F">
              <w:rPr>
                <w:rStyle w:val="Firstpagetablebold"/>
                <w:vertAlign w:val="superscript"/>
              </w:rPr>
              <w:t>th</w:t>
            </w:r>
            <w:r>
              <w:rPr>
                <w:rStyle w:val="Firstpagetablebold"/>
              </w:rPr>
              <w:t xml:space="preserve"> J</w:t>
            </w:r>
            <w:r w:rsidR="00A411A3">
              <w:rPr>
                <w:rStyle w:val="Firstpagetablebold"/>
              </w:rPr>
              <w:t>anuary</w:t>
            </w:r>
            <w:r>
              <w:rPr>
                <w:rStyle w:val="Firstpagetablebold"/>
              </w:rPr>
              <w:t xml:space="preserve"> </w:t>
            </w:r>
            <w:r w:rsidR="00FB3DC5">
              <w:rPr>
                <w:rStyle w:val="Firstpagetablebold"/>
              </w:rPr>
              <w:t>2</w:t>
            </w:r>
            <w:r w:rsidR="00DD153D">
              <w:rPr>
                <w:rStyle w:val="Firstpagetablebold"/>
              </w:rPr>
              <w:t>02</w:t>
            </w:r>
            <w:r w:rsidR="00A411A3">
              <w:rPr>
                <w:rStyle w:val="Firstpagetablebold"/>
              </w:rPr>
              <w:t>5</w:t>
            </w:r>
          </w:p>
        </w:tc>
      </w:tr>
      <w:tr w:rsidR="00CE544A" w:rsidRPr="00975B07" w14:paraId="5F18411F" w14:textId="77777777" w:rsidTr="005F7F7E">
        <w:tc>
          <w:tcPr>
            <w:tcW w:w="2438" w:type="dxa"/>
            <w:shd w:val="clear" w:color="auto" w:fill="auto"/>
          </w:tcPr>
          <w:p w14:paraId="46AB76A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3AF4DEE8" w14:textId="77777777" w:rsidR="00F445B1" w:rsidRPr="001356F1" w:rsidRDefault="00E33416" w:rsidP="004A6D2F">
            <w:pPr>
              <w:rPr>
                <w:rStyle w:val="Firstpagetablebold"/>
              </w:rPr>
            </w:pPr>
            <w:r>
              <w:rPr>
                <w:rStyle w:val="Firstpagetablebold"/>
              </w:rPr>
              <w:t>Head of Financial Services</w:t>
            </w:r>
          </w:p>
        </w:tc>
      </w:tr>
      <w:tr w:rsidR="00CE544A" w:rsidRPr="00975B07" w14:paraId="3C7F4018" w14:textId="77777777" w:rsidTr="005F7F7E">
        <w:tc>
          <w:tcPr>
            <w:tcW w:w="2438" w:type="dxa"/>
            <w:shd w:val="clear" w:color="auto" w:fill="auto"/>
          </w:tcPr>
          <w:p w14:paraId="4087301B"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1D4D6097" w14:textId="42BB888D" w:rsidR="00F445B1" w:rsidRPr="001356F1" w:rsidRDefault="00F00DE8" w:rsidP="00103544">
            <w:pPr>
              <w:rPr>
                <w:rStyle w:val="Firstpagetablebold"/>
              </w:rPr>
            </w:pPr>
            <w:r>
              <w:rPr>
                <w:rFonts w:cs="Arial"/>
                <w:b/>
                <w:bCs/>
              </w:rPr>
              <w:t xml:space="preserve">Risk Management Reporting </w:t>
            </w:r>
            <w:r w:rsidR="00A12C30">
              <w:rPr>
                <w:rFonts w:cs="Arial"/>
                <w:b/>
                <w:bCs/>
              </w:rPr>
              <w:t>as at</w:t>
            </w:r>
            <w:r w:rsidR="00550929">
              <w:rPr>
                <w:rFonts w:cs="Arial"/>
                <w:b/>
                <w:bCs/>
              </w:rPr>
              <w:t xml:space="preserve"> </w:t>
            </w:r>
            <w:r w:rsidR="00A84C0F">
              <w:rPr>
                <w:rFonts w:cs="Arial"/>
                <w:b/>
                <w:bCs/>
              </w:rPr>
              <w:t>3</w:t>
            </w:r>
            <w:r w:rsidR="00A411A3">
              <w:rPr>
                <w:rFonts w:cs="Arial"/>
                <w:b/>
                <w:bCs/>
              </w:rPr>
              <w:t>1</w:t>
            </w:r>
            <w:r w:rsidR="00A84C0F">
              <w:rPr>
                <w:rFonts w:cs="Arial"/>
                <w:b/>
                <w:bCs/>
              </w:rPr>
              <w:t xml:space="preserve"> </w:t>
            </w:r>
            <w:r w:rsidR="00A411A3">
              <w:rPr>
                <w:rFonts w:cs="Arial"/>
                <w:b/>
                <w:bCs/>
              </w:rPr>
              <w:t xml:space="preserve">December </w:t>
            </w:r>
            <w:r w:rsidR="00464107">
              <w:rPr>
                <w:rFonts w:cs="Arial"/>
                <w:b/>
                <w:bCs/>
              </w:rPr>
              <w:t>202</w:t>
            </w:r>
            <w:r w:rsidR="009929C5">
              <w:rPr>
                <w:rFonts w:cs="Arial"/>
                <w:b/>
                <w:bCs/>
              </w:rPr>
              <w:t>4</w:t>
            </w:r>
          </w:p>
        </w:tc>
      </w:tr>
    </w:tbl>
    <w:p w14:paraId="78CABE3E" w14:textId="77777777" w:rsidR="004F20EF" w:rsidRDefault="004F20EF" w:rsidP="004A6D2F"/>
    <w:p w14:paraId="14F15573" w14:textId="77777777" w:rsidR="00E67E2E" w:rsidRDefault="00E67E2E"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70060FC3" w14:textId="77777777" w:rsidTr="0080749A">
        <w:tc>
          <w:tcPr>
            <w:tcW w:w="8845" w:type="dxa"/>
            <w:gridSpan w:val="2"/>
            <w:tcBorders>
              <w:bottom w:val="single" w:sz="8" w:space="0" w:color="000000"/>
            </w:tcBorders>
            <w:hideMark/>
          </w:tcPr>
          <w:p w14:paraId="0967D940"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6EE74EE9" w14:textId="77777777" w:rsidTr="0080749A">
        <w:tc>
          <w:tcPr>
            <w:tcW w:w="2438" w:type="dxa"/>
            <w:tcBorders>
              <w:top w:val="single" w:sz="8" w:space="0" w:color="000000"/>
              <w:left w:val="single" w:sz="8" w:space="0" w:color="000000"/>
              <w:bottom w:val="nil"/>
              <w:right w:val="nil"/>
            </w:tcBorders>
            <w:hideMark/>
          </w:tcPr>
          <w:p w14:paraId="3397AFCA"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5D3FAD46" w14:textId="5BEFB2A1" w:rsidR="00D5547E" w:rsidRPr="001356F1" w:rsidRDefault="00F00DE8" w:rsidP="00103544">
            <w:r w:rsidRPr="00A91CBA">
              <w:rPr>
                <w:rFonts w:cs="Arial"/>
              </w:rPr>
              <w:t xml:space="preserve">To update the Committee on corporate and service risks </w:t>
            </w:r>
            <w:r w:rsidR="00A12C30">
              <w:rPr>
                <w:rFonts w:cs="Arial"/>
              </w:rPr>
              <w:t>as at</w:t>
            </w:r>
            <w:r w:rsidRPr="00A91CBA">
              <w:rPr>
                <w:rFonts w:cs="Arial"/>
              </w:rPr>
              <w:t xml:space="preserve"> </w:t>
            </w:r>
            <w:r w:rsidR="00A84C0F">
              <w:rPr>
                <w:rFonts w:cs="Arial"/>
              </w:rPr>
              <w:t>3</w:t>
            </w:r>
            <w:r w:rsidR="00A411A3">
              <w:rPr>
                <w:rFonts w:cs="Arial"/>
              </w:rPr>
              <w:t>1</w:t>
            </w:r>
            <w:r w:rsidR="00A84C0F">
              <w:rPr>
                <w:rFonts w:cs="Arial"/>
              </w:rPr>
              <w:t xml:space="preserve"> </w:t>
            </w:r>
            <w:r w:rsidR="00A411A3">
              <w:rPr>
                <w:rFonts w:cs="Arial"/>
              </w:rPr>
              <w:t>December</w:t>
            </w:r>
            <w:r w:rsidR="00464107">
              <w:rPr>
                <w:rFonts w:cs="Arial"/>
              </w:rPr>
              <w:t xml:space="preserve"> 2024</w:t>
            </w:r>
          </w:p>
        </w:tc>
      </w:tr>
      <w:tr w:rsidR="00D5547E" w14:paraId="683517BF" w14:textId="77777777" w:rsidTr="0080749A">
        <w:tc>
          <w:tcPr>
            <w:tcW w:w="2438" w:type="dxa"/>
            <w:tcBorders>
              <w:top w:val="nil"/>
              <w:left w:val="single" w:sz="8" w:space="0" w:color="000000"/>
              <w:bottom w:val="nil"/>
              <w:right w:val="nil"/>
            </w:tcBorders>
            <w:hideMark/>
          </w:tcPr>
          <w:p w14:paraId="3ACB43D8"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22F69168" w14:textId="77777777" w:rsidR="00D5547E" w:rsidRPr="001356F1" w:rsidRDefault="00E33416" w:rsidP="005F7F7E">
            <w:r>
              <w:t>No</w:t>
            </w:r>
          </w:p>
        </w:tc>
      </w:tr>
      <w:tr w:rsidR="00D5547E" w14:paraId="123FA587" w14:textId="77777777" w:rsidTr="0080749A">
        <w:tc>
          <w:tcPr>
            <w:tcW w:w="2438" w:type="dxa"/>
            <w:tcBorders>
              <w:top w:val="nil"/>
              <w:left w:val="single" w:sz="8" w:space="0" w:color="000000"/>
              <w:bottom w:val="nil"/>
              <w:right w:val="nil"/>
            </w:tcBorders>
            <w:hideMark/>
          </w:tcPr>
          <w:p w14:paraId="57DCF9D7" w14:textId="77777777" w:rsidR="00D5547E" w:rsidRDefault="00F913EC">
            <w:pPr>
              <w:rPr>
                <w:rStyle w:val="Firstpagetablebold"/>
              </w:rPr>
            </w:pPr>
            <w:r>
              <w:rPr>
                <w:rStyle w:val="Firstpagetablebold"/>
              </w:rPr>
              <w:t>Cabinet</w:t>
            </w:r>
            <w:r w:rsidR="00D5547E">
              <w:rPr>
                <w:rStyle w:val="Firstpagetablebold"/>
              </w:rPr>
              <w:t xml:space="preserve"> Member</w:t>
            </w:r>
            <w:r w:rsidR="00A44635">
              <w:rPr>
                <w:rStyle w:val="Firstpagetablebold"/>
              </w:rPr>
              <w:t xml:space="preserve"> with responsibility</w:t>
            </w:r>
            <w:r w:rsidR="00D5547E">
              <w:rPr>
                <w:rStyle w:val="Firstpagetablebold"/>
              </w:rPr>
              <w:t>:</w:t>
            </w:r>
          </w:p>
        </w:tc>
        <w:tc>
          <w:tcPr>
            <w:tcW w:w="6407" w:type="dxa"/>
            <w:tcBorders>
              <w:top w:val="nil"/>
              <w:left w:val="nil"/>
              <w:bottom w:val="nil"/>
              <w:right w:val="single" w:sz="8" w:space="0" w:color="000000"/>
            </w:tcBorders>
            <w:hideMark/>
          </w:tcPr>
          <w:p w14:paraId="536985D2" w14:textId="1941D969" w:rsidR="00D5547E" w:rsidRPr="001356F1" w:rsidRDefault="00D5547E" w:rsidP="00E33416">
            <w:r w:rsidRPr="001356F1">
              <w:t xml:space="preserve">Councillor </w:t>
            </w:r>
            <w:r w:rsidR="00E33416">
              <w:t xml:space="preserve">Ed Turner, </w:t>
            </w:r>
            <w:r w:rsidR="00F9146C" w:rsidRPr="00F9146C">
              <w:t>Deputy Leader (Statutory) - Finance and Asset Management</w:t>
            </w:r>
          </w:p>
        </w:tc>
      </w:tr>
      <w:tr w:rsidR="0080749A" w14:paraId="529A39BB" w14:textId="77777777" w:rsidTr="0080749A">
        <w:tc>
          <w:tcPr>
            <w:tcW w:w="2438" w:type="dxa"/>
            <w:tcBorders>
              <w:top w:val="nil"/>
              <w:left w:val="single" w:sz="8" w:space="0" w:color="000000"/>
              <w:bottom w:val="nil"/>
              <w:right w:val="nil"/>
            </w:tcBorders>
          </w:tcPr>
          <w:p w14:paraId="2EBDF686"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48A73B49" w14:textId="6D0F752A" w:rsidR="0080749A" w:rsidRPr="001356F1" w:rsidRDefault="00F01B59" w:rsidP="00E33416">
            <w:r>
              <w:t>A Well Run Council</w:t>
            </w:r>
          </w:p>
        </w:tc>
      </w:tr>
      <w:tr w:rsidR="00D5547E" w14:paraId="1751CB6A" w14:textId="77777777" w:rsidTr="0080749A">
        <w:tc>
          <w:tcPr>
            <w:tcW w:w="2438" w:type="dxa"/>
            <w:tcBorders>
              <w:top w:val="nil"/>
              <w:left w:val="single" w:sz="8" w:space="0" w:color="000000"/>
              <w:bottom w:val="nil"/>
              <w:right w:val="nil"/>
            </w:tcBorders>
            <w:hideMark/>
          </w:tcPr>
          <w:p w14:paraId="01A5AF74"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4C489390" w14:textId="6BFE3EA3" w:rsidR="00D5547E" w:rsidRPr="001356F1" w:rsidRDefault="00F01B59" w:rsidP="005F7F7E">
            <w:r>
              <w:t>None</w:t>
            </w:r>
          </w:p>
        </w:tc>
      </w:tr>
      <w:tr w:rsidR="005F7F7E" w:rsidRPr="00975B07" w14:paraId="5C81B9EC" w14:textId="77777777" w:rsidTr="00A46E98">
        <w:trPr>
          <w:trHeight w:val="413"/>
        </w:trPr>
        <w:tc>
          <w:tcPr>
            <w:tcW w:w="8845" w:type="dxa"/>
            <w:gridSpan w:val="2"/>
            <w:tcBorders>
              <w:bottom w:val="single" w:sz="8" w:space="0" w:color="000000"/>
            </w:tcBorders>
          </w:tcPr>
          <w:p w14:paraId="37F5671E" w14:textId="77777777" w:rsidR="005F7F7E" w:rsidRPr="00975B07" w:rsidRDefault="00E33416" w:rsidP="00C0541B">
            <w:r>
              <w:rPr>
                <w:rStyle w:val="Firstpagetablebold"/>
              </w:rPr>
              <w:t>Recommendations</w:t>
            </w:r>
            <w:r w:rsidR="005F7F7E">
              <w:rPr>
                <w:rStyle w:val="Firstpagetablebold"/>
              </w:rPr>
              <w:t>:</w:t>
            </w:r>
            <w:r>
              <w:rPr>
                <w:rStyle w:val="Firstpagetablebold"/>
              </w:rPr>
              <w:t xml:space="preserve"> </w:t>
            </w:r>
            <w:r w:rsidR="00F00DE8">
              <w:rPr>
                <w:rStyle w:val="Firstpagetablebold"/>
                <w:b w:val="0"/>
              </w:rPr>
              <w:t>t</w:t>
            </w:r>
            <w:r w:rsidR="00F00DE8" w:rsidRPr="00F00DE8">
              <w:rPr>
                <w:rStyle w:val="Firstpagetablebold"/>
                <w:b w:val="0"/>
              </w:rPr>
              <w:t>hat the Committee reviews the risk management report and notes its contents</w:t>
            </w:r>
          </w:p>
        </w:tc>
      </w:tr>
    </w:tbl>
    <w:p w14:paraId="77C66C45"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065BABE2"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12349598" w14:textId="77777777" w:rsidR="00966D42" w:rsidRPr="00975B07" w:rsidRDefault="00966D42" w:rsidP="00263EA3">
            <w:pPr>
              <w:jc w:val="center"/>
            </w:pPr>
            <w:r w:rsidRPr="00745BF0">
              <w:rPr>
                <w:rStyle w:val="Firstpagetablebold"/>
              </w:rPr>
              <w:t>Appendices</w:t>
            </w:r>
          </w:p>
        </w:tc>
      </w:tr>
      <w:tr w:rsidR="00ED5860" w:rsidRPr="00975B07" w14:paraId="4E44DDDC" w14:textId="77777777" w:rsidTr="00A46E98">
        <w:tc>
          <w:tcPr>
            <w:tcW w:w="2438" w:type="dxa"/>
            <w:tcBorders>
              <w:top w:val="single" w:sz="8" w:space="0" w:color="000000"/>
              <w:left w:val="single" w:sz="8" w:space="0" w:color="000000"/>
              <w:bottom w:val="nil"/>
              <w:right w:val="nil"/>
            </w:tcBorders>
            <w:shd w:val="clear" w:color="auto" w:fill="auto"/>
          </w:tcPr>
          <w:p w14:paraId="24EB8E04" w14:textId="65054C71" w:rsidR="00827FC2" w:rsidRPr="00975B07" w:rsidRDefault="00ED5860">
            <w:r w:rsidRPr="00975B07">
              <w:t xml:space="preserve">Appendix </w:t>
            </w:r>
            <w:r w:rsidR="00464107">
              <w:t>1</w:t>
            </w:r>
          </w:p>
        </w:tc>
        <w:tc>
          <w:tcPr>
            <w:tcW w:w="6406" w:type="dxa"/>
            <w:tcBorders>
              <w:top w:val="single" w:sz="8" w:space="0" w:color="000000"/>
              <w:left w:val="nil"/>
              <w:bottom w:val="nil"/>
              <w:right w:val="single" w:sz="8" w:space="0" w:color="000000"/>
            </w:tcBorders>
          </w:tcPr>
          <w:p w14:paraId="21C644A9" w14:textId="38B98CBF" w:rsidR="00827FC2" w:rsidRPr="001356F1" w:rsidRDefault="00F00DE8" w:rsidP="00262011">
            <w:r>
              <w:rPr>
                <w:rFonts w:cs="Arial"/>
              </w:rPr>
              <w:t xml:space="preserve">Corporate Risk </w:t>
            </w:r>
            <w:r w:rsidR="00A84C0F" w:rsidRPr="00A84C0F">
              <w:rPr>
                <w:rFonts w:cs="Arial"/>
              </w:rPr>
              <w:t>Register – Risks and Controls</w:t>
            </w:r>
          </w:p>
        </w:tc>
      </w:tr>
      <w:tr w:rsidR="00A84C0F" w:rsidRPr="00975B07" w14:paraId="1552B80C" w14:textId="77777777" w:rsidTr="00F16A77">
        <w:tc>
          <w:tcPr>
            <w:tcW w:w="2438" w:type="dxa"/>
            <w:tcBorders>
              <w:top w:val="nil"/>
              <w:left w:val="single" w:sz="8" w:space="0" w:color="000000"/>
              <w:bottom w:val="nil"/>
              <w:right w:val="nil"/>
            </w:tcBorders>
            <w:shd w:val="clear" w:color="auto" w:fill="auto"/>
          </w:tcPr>
          <w:p w14:paraId="77E83295" w14:textId="77F7AD04" w:rsidR="00A84C0F" w:rsidRDefault="00A84C0F" w:rsidP="00E33416">
            <w:r>
              <w:t>Appendix 2</w:t>
            </w:r>
          </w:p>
        </w:tc>
        <w:tc>
          <w:tcPr>
            <w:tcW w:w="6406" w:type="dxa"/>
            <w:tcBorders>
              <w:top w:val="nil"/>
              <w:left w:val="nil"/>
              <w:bottom w:val="nil"/>
              <w:right w:val="single" w:sz="8" w:space="0" w:color="000000"/>
            </w:tcBorders>
          </w:tcPr>
          <w:p w14:paraId="21E97C4F" w14:textId="3052490B" w:rsidR="00A84C0F" w:rsidRDefault="00A84C0F" w:rsidP="002F1DF8">
            <w:r w:rsidRPr="00A84C0F">
              <w:t>Corporate Risk Register – Risks</w:t>
            </w:r>
            <w:r>
              <w:t xml:space="preserve"> Only</w:t>
            </w:r>
          </w:p>
        </w:tc>
      </w:tr>
      <w:tr w:rsidR="00F00DE8" w:rsidRPr="00975B07" w14:paraId="0D8668A7" w14:textId="77777777" w:rsidTr="00F16A77">
        <w:tc>
          <w:tcPr>
            <w:tcW w:w="2438" w:type="dxa"/>
            <w:tcBorders>
              <w:top w:val="nil"/>
              <w:left w:val="single" w:sz="8" w:space="0" w:color="000000"/>
              <w:bottom w:val="nil"/>
              <w:right w:val="nil"/>
            </w:tcBorders>
            <w:shd w:val="clear" w:color="auto" w:fill="auto"/>
          </w:tcPr>
          <w:p w14:paraId="4300324A" w14:textId="2040367A" w:rsidR="00F00DE8" w:rsidRPr="00975B07" w:rsidRDefault="00464107" w:rsidP="00E33416">
            <w:r>
              <w:t xml:space="preserve">Appendix </w:t>
            </w:r>
            <w:r w:rsidR="00A84C0F">
              <w:t>3</w:t>
            </w:r>
          </w:p>
        </w:tc>
        <w:tc>
          <w:tcPr>
            <w:tcW w:w="6406" w:type="dxa"/>
            <w:tcBorders>
              <w:top w:val="nil"/>
              <w:left w:val="nil"/>
              <w:bottom w:val="nil"/>
              <w:right w:val="single" w:sz="8" w:space="0" w:color="000000"/>
            </w:tcBorders>
          </w:tcPr>
          <w:p w14:paraId="799613E6" w14:textId="6769BC35" w:rsidR="00F00DE8" w:rsidRPr="001356F1" w:rsidRDefault="00464107" w:rsidP="002F1DF8">
            <w:r>
              <w:t xml:space="preserve">Service Risk Register – Risks </w:t>
            </w:r>
            <w:r w:rsidR="00A84C0F" w:rsidRPr="00A84C0F">
              <w:t xml:space="preserve">and Controls </w:t>
            </w:r>
          </w:p>
        </w:tc>
      </w:tr>
      <w:tr w:rsidR="00464107" w:rsidRPr="00975B07" w14:paraId="7DF5AD82" w14:textId="77777777" w:rsidTr="00A46E98">
        <w:tc>
          <w:tcPr>
            <w:tcW w:w="2438" w:type="dxa"/>
            <w:tcBorders>
              <w:top w:val="nil"/>
              <w:left w:val="single" w:sz="8" w:space="0" w:color="000000"/>
              <w:bottom w:val="single" w:sz="8" w:space="0" w:color="000000"/>
              <w:right w:val="nil"/>
            </w:tcBorders>
            <w:shd w:val="clear" w:color="auto" w:fill="auto"/>
          </w:tcPr>
          <w:p w14:paraId="65211FFC" w14:textId="432DA2F5" w:rsidR="00464107" w:rsidRPr="00975B07" w:rsidRDefault="00464107" w:rsidP="00E33416">
            <w:r>
              <w:t xml:space="preserve">Appendix </w:t>
            </w:r>
            <w:r w:rsidR="00A84C0F">
              <w:t>4</w:t>
            </w:r>
          </w:p>
        </w:tc>
        <w:tc>
          <w:tcPr>
            <w:tcW w:w="6406" w:type="dxa"/>
            <w:tcBorders>
              <w:top w:val="nil"/>
              <w:left w:val="nil"/>
              <w:bottom w:val="single" w:sz="8" w:space="0" w:color="000000"/>
              <w:right w:val="single" w:sz="8" w:space="0" w:color="000000"/>
            </w:tcBorders>
          </w:tcPr>
          <w:p w14:paraId="42D4EF86" w14:textId="63957C53" w:rsidR="00464107" w:rsidRPr="001356F1" w:rsidRDefault="00464107" w:rsidP="002F1DF8">
            <w:r>
              <w:t xml:space="preserve">Service Risk Register – Risks </w:t>
            </w:r>
            <w:r w:rsidR="00A84C0F" w:rsidRPr="00A84C0F">
              <w:t>Only</w:t>
            </w:r>
            <w:r w:rsidR="00A84C0F" w:rsidRPr="00A84C0F" w:rsidDel="00A84C0F">
              <w:t xml:space="preserve"> </w:t>
            </w:r>
          </w:p>
        </w:tc>
      </w:tr>
    </w:tbl>
    <w:p w14:paraId="2C619288" w14:textId="77777777" w:rsidR="00C84953" w:rsidRDefault="00C84953" w:rsidP="00F00DE8">
      <w:pPr>
        <w:rPr>
          <w:b/>
        </w:rPr>
      </w:pPr>
    </w:p>
    <w:p w14:paraId="0159A6A3" w14:textId="18DB33DE" w:rsidR="00F00DE8" w:rsidRPr="00F00DE8" w:rsidRDefault="00F00DE8" w:rsidP="00F00DE8">
      <w:r w:rsidRPr="00F00DE8">
        <w:rPr>
          <w:b/>
        </w:rPr>
        <w:t>Risk Scoring Matrix</w:t>
      </w:r>
    </w:p>
    <w:p w14:paraId="675A6A31" w14:textId="2E810173" w:rsidR="00F00DE8" w:rsidRDefault="00F00DE8" w:rsidP="00F00DE8">
      <w:pPr>
        <w:pStyle w:val="bParagraphtext"/>
      </w:pPr>
      <w:r>
        <w:t xml:space="preserve">The Council operates a ‘five by five’ </w:t>
      </w:r>
      <w:r w:rsidR="00DD7F26">
        <w:t xml:space="preserve">risk </w:t>
      </w:r>
      <w:r>
        <w:t>scoring matrix based on probability and impact. The methodology for scoring risks is set out below along with a copy of the scoring matrix or ‘heat map’.</w:t>
      </w:r>
    </w:p>
    <w:p w14:paraId="12A8D5BD" w14:textId="6B56B328" w:rsidR="00F00DE8" w:rsidRDefault="00F00DE8" w:rsidP="00F00DE8">
      <w:pPr>
        <w:pStyle w:val="bParagraphtext"/>
      </w:pPr>
      <w:r>
        <w:t xml:space="preserve">It is possible to get the same score but end up with a different result in the heat map. For </w:t>
      </w:r>
      <w:r w:rsidR="00DD7F26">
        <w:t>example,</w:t>
      </w:r>
      <w:r>
        <w:t xml:space="preserve"> if the probability of an event occurring is high but the impact is low it is likely to have a lower rating on the heat map. However, the higher the potential impact score the more likely the event will be classed as a</w:t>
      </w:r>
      <w:r w:rsidR="00C84953">
        <w:t>n amber</w:t>
      </w:r>
      <w:r>
        <w:t xml:space="preserve"> risk on the matrix.</w:t>
      </w:r>
    </w:p>
    <w:p w14:paraId="6775E0D0" w14:textId="77777777" w:rsidR="00F52CB3" w:rsidRDefault="00F52CB3">
      <w:pPr>
        <w:spacing w:after="0"/>
      </w:pPr>
      <w:r>
        <w:br w:type="page"/>
      </w:r>
    </w:p>
    <w:p w14:paraId="721C5CDE" w14:textId="7E56EAAD" w:rsidR="00F00DE8" w:rsidRDefault="00F00DE8" w:rsidP="00F00DE8">
      <w:pPr>
        <w:pStyle w:val="bParagraphtext"/>
      </w:pPr>
      <w:r>
        <w:lastRenderedPageBreak/>
        <w:t>The risk prioritisation matrix is shown below.</w:t>
      </w:r>
    </w:p>
    <w:p w14:paraId="4523AD1B" w14:textId="77777777" w:rsidR="00F00DE8" w:rsidRDefault="00F00DE8" w:rsidP="00F00DE8">
      <w:pPr>
        <w:pStyle w:val="bParagraphtext"/>
        <w:numPr>
          <w:ilvl w:val="0"/>
          <w:numId w:val="0"/>
        </w:numPr>
        <w:ind w:left="426"/>
      </w:pPr>
    </w:p>
    <w:tbl>
      <w:tblPr>
        <w:tblW w:w="8480" w:type="dxa"/>
        <w:tblInd w:w="93" w:type="dxa"/>
        <w:tblLook w:val="04A0" w:firstRow="1" w:lastRow="0" w:firstColumn="1" w:lastColumn="0" w:noHBand="0" w:noVBand="1"/>
      </w:tblPr>
      <w:tblGrid>
        <w:gridCol w:w="1353"/>
        <w:gridCol w:w="926"/>
        <w:gridCol w:w="1378"/>
        <w:gridCol w:w="1280"/>
        <w:gridCol w:w="1280"/>
        <w:gridCol w:w="1280"/>
        <w:gridCol w:w="1280"/>
      </w:tblGrid>
      <w:tr w:rsidR="00F00DE8" w:rsidRPr="00011AC6" w14:paraId="7169B88E" w14:textId="77777777" w:rsidTr="00415D64">
        <w:trPr>
          <w:trHeight w:val="315"/>
        </w:trPr>
        <w:tc>
          <w:tcPr>
            <w:tcW w:w="1280" w:type="dxa"/>
            <w:shd w:val="clear" w:color="auto" w:fill="FFFFFF"/>
            <w:noWrap/>
            <w:vAlign w:val="center"/>
            <w:hideMark/>
          </w:tcPr>
          <w:p w14:paraId="04B4B36A" w14:textId="77777777" w:rsidR="00F00DE8" w:rsidRPr="00011AC6" w:rsidRDefault="00F00DE8" w:rsidP="00415D64">
            <w:pPr>
              <w:jc w:val="center"/>
              <w:rPr>
                <w:rFonts w:cs="Arial"/>
                <w:b/>
                <w:bCs/>
                <w:sz w:val="22"/>
                <w:szCs w:val="22"/>
              </w:rPr>
            </w:pPr>
            <w:r w:rsidRPr="00011AC6">
              <w:rPr>
                <w:rFonts w:cs="Arial"/>
                <w:b/>
                <w:bCs/>
                <w:sz w:val="22"/>
                <w:szCs w:val="22"/>
              </w:rPr>
              <w:t>Probability</w:t>
            </w:r>
          </w:p>
        </w:tc>
        <w:tc>
          <w:tcPr>
            <w:tcW w:w="800" w:type="dxa"/>
            <w:shd w:val="clear" w:color="auto" w:fill="FFFFFF"/>
            <w:noWrap/>
            <w:vAlign w:val="center"/>
            <w:hideMark/>
          </w:tcPr>
          <w:p w14:paraId="23538B61" w14:textId="77777777" w:rsidR="00F00DE8" w:rsidRPr="00011AC6" w:rsidRDefault="00F00DE8" w:rsidP="00415D64">
            <w:pPr>
              <w:rPr>
                <w:rFonts w:cs="Arial"/>
              </w:rPr>
            </w:pPr>
            <w:r w:rsidRPr="00011AC6">
              <w:rPr>
                <w:rFonts w:cs="Arial"/>
              </w:rPr>
              <w:t> </w:t>
            </w:r>
          </w:p>
        </w:tc>
        <w:tc>
          <w:tcPr>
            <w:tcW w:w="1280" w:type="dxa"/>
            <w:shd w:val="clear" w:color="auto" w:fill="FFFFFF"/>
            <w:noWrap/>
            <w:vAlign w:val="center"/>
            <w:hideMark/>
          </w:tcPr>
          <w:p w14:paraId="5716BF9C" w14:textId="77777777" w:rsidR="00F00DE8" w:rsidRPr="00011AC6" w:rsidRDefault="00F00DE8" w:rsidP="00415D64">
            <w:pPr>
              <w:rPr>
                <w:rFonts w:cs="Arial"/>
              </w:rPr>
            </w:pPr>
            <w:r w:rsidRPr="00011AC6">
              <w:rPr>
                <w:rFonts w:cs="Arial"/>
              </w:rPr>
              <w:t> </w:t>
            </w:r>
          </w:p>
        </w:tc>
        <w:tc>
          <w:tcPr>
            <w:tcW w:w="1280" w:type="dxa"/>
            <w:shd w:val="clear" w:color="auto" w:fill="FFFFFF"/>
            <w:noWrap/>
            <w:vAlign w:val="center"/>
            <w:hideMark/>
          </w:tcPr>
          <w:p w14:paraId="1EC1A66E" w14:textId="77777777" w:rsidR="00F00DE8" w:rsidRPr="00011AC6" w:rsidRDefault="00F00DE8" w:rsidP="00415D64">
            <w:pPr>
              <w:rPr>
                <w:rFonts w:cs="Arial"/>
              </w:rPr>
            </w:pPr>
            <w:r w:rsidRPr="00011AC6">
              <w:rPr>
                <w:rFonts w:cs="Arial"/>
              </w:rPr>
              <w:t> </w:t>
            </w:r>
          </w:p>
        </w:tc>
        <w:tc>
          <w:tcPr>
            <w:tcW w:w="1280" w:type="dxa"/>
            <w:shd w:val="clear" w:color="auto" w:fill="FFFFFF"/>
            <w:noWrap/>
            <w:vAlign w:val="center"/>
            <w:hideMark/>
          </w:tcPr>
          <w:p w14:paraId="061A8CE0" w14:textId="77777777" w:rsidR="00F00DE8" w:rsidRPr="00011AC6" w:rsidRDefault="00F00DE8" w:rsidP="00415D64">
            <w:pPr>
              <w:rPr>
                <w:rFonts w:cs="Arial"/>
              </w:rPr>
            </w:pPr>
            <w:r w:rsidRPr="00011AC6">
              <w:rPr>
                <w:rFonts w:cs="Arial"/>
              </w:rPr>
              <w:t> </w:t>
            </w:r>
          </w:p>
        </w:tc>
        <w:tc>
          <w:tcPr>
            <w:tcW w:w="1280" w:type="dxa"/>
            <w:shd w:val="clear" w:color="auto" w:fill="FFFFFF"/>
            <w:noWrap/>
            <w:vAlign w:val="center"/>
            <w:hideMark/>
          </w:tcPr>
          <w:p w14:paraId="439B28B8" w14:textId="77777777" w:rsidR="00F00DE8" w:rsidRPr="00011AC6" w:rsidRDefault="00F00DE8" w:rsidP="00415D64">
            <w:pPr>
              <w:rPr>
                <w:rFonts w:cs="Arial"/>
              </w:rPr>
            </w:pPr>
            <w:r w:rsidRPr="00011AC6">
              <w:rPr>
                <w:rFonts w:cs="Arial"/>
              </w:rPr>
              <w:t> </w:t>
            </w:r>
          </w:p>
        </w:tc>
        <w:tc>
          <w:tcPr>
            <w:tcW w:w="1280" w:type="dxa"/>
            <w:shd w:val="clear" w:color="auto" w:fill="FFFFFF"/>
            <w:noWrap/>
            <w:vAlign w:val="center"/>
            <w:hideMark/>
          </w:tcPr>
          <w:p w14:paraId="3275EF4A" w14:textId="77777777" w:rsidR="00F00DE8" w:rsidRPr="00011AC6" w:rsidRDefault="00F00DE8" w:rsidP="00415D64">
            <w:pPr>
              <w:rPr>
                <w:rFonts w:cs="Arial"/>
              </w:rPr>
            </w:pPr>
            <w:r w:rsidRPr="00011AC6">
              <w:rPr>
                <w:rFonts w:cs="Arial"/>
              </w:rPr>
              <w:t> </w:t>
            </w:r>
          </w:p>
        </w:tc>
      </w:tr>
      <w:tr w:rsidR="00F00DE8" w:rsidRPr="00011AC6" w14:paraId="0D0E0E54" w14:textId="77777777" w:rsidTr="00415D64">
        <w:trPr>
          <w:trHeight w:val="619"/>
        </w:trPr>
        <w:tc>
          <w:tcPr>
            <w:tcW w:w="1280" w:type="dxa"/>
            <w:shd w:val="clear" w:color="auto" w:fill="FFFFFF"/>
            <w:vAlign w:val="center"/>
            <w:hideMark/>
          </w:tcPr>
          <w:p w14:paraId="7FDA1525" w14:textId="77777777" w:rsidR="00F00DE8" w:rsidRPr="00011AC6" w:rsidRDefault="00F00DE8" w:rsidP="00415D64">
            <w:pPr>
              <w:jc w:val="center"/>
              <w:rPr>
                <w:rFonts w:cs="Arial"/>
              </w:rPr>
            </w:pPr>
            <w:r w:rsidRPr="00011AC6">
              <w:rPr>
                <w:rFonts w:cs="Arial"/>
              </w:rPr>
              <w:t>Almost Certain</w:t>
            </w:r>
          </w:p>
        </w:tc>
        <w:tc>
          <w:tcPr>
            <w:tcW w:w="800" w:type="dxa"/>
            <w:tcBorders>
              <w:top w:val="nil"/>
              <w:left w:val="nil"/>
              <w:bottom w:val="nil"/>
              <w:right w:val="single" w:sz="12" w:space="0" w:color="auto"/>
            </w:tcBorders>
            <w:shd w:val="clear" w:color="auto" w:fill="FFFFFF"/>
            <w:noWrap/>
            <w:vAlign w:val="center"/>
            <w:hideMark/>
          </w:tcPr>
          <w:p w14:paraId="6C6A2C7E" w14:textId="77777777" w:rsidR="00F00DE8" w:rsidRPr="00011AC6" w:rsidRDefault="00F00DE8" w:rsidP="00415D64">
            <w:pPr>
              <w:jc w:val="center"/>
              <w:rPr>
                <w:rFonts w:cs="Arial"/>
              </w:rPr>
            </w:pPr>
            <w:r w:rsidRPr="00011AC6">
              <w:rPr>
                <w:rFonts w:cs="Arial"/>
              </w:rPr>
              <w:t>5</w:t>
            </w:r>
          </w:p>
        </w:tc>
        <w:tc>
          <w:tcPr>
            <w:tcW w:w="1280" w:type="dxa"/>
            <w:tcBorders>
              <w:top w:val="single" w:sz="12" w:space="0" w:color="auto"/>
              <w:left w:val="nil"/>
              <w:bottom w:val="nil"/>
              <w:right w:val="nil"/>
            </w:tcBorders>
            <w:shd w:val="thinHorzStripe" w:color="000000" w:fill="00843C"/>
            <w:noWrap/>
            <w:vAlign w:val="center"/>
            <w:hideMark/>
          </w:tcPr>
          <w:p w14:paraId="4039C7F2"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5</w:t>
            </w:r>
          </w:p>
        </w:tc>
        <w:tc>
          <w:tcPr>
            <w:tcW w:w="1280" w:type="dxa"/>
            <w:tcBorders>
              <w:top w:val="single" w:sz="12" w:space="0" w:color="auto"/>
              <w:left w:val="nil"/>
              <w:bottom w:val="nil"/>
              <w:right w:val="nil"/>
            </w:tcBorders>
            <w:shd w:val="thinVertStripe" w:color="000000" w:fill="DDA600"/>
            <w:noWrap/>
            <w:vAlign w:val="center"/>
            <w:hideMark/>
          </w:tcPr>
          <w:p w14:paraId="03B87798"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10</w:t>
            </w:r>
          </w:p>
        </w:tc>
        <w:tc>
          <w:tcPr>
            <w:tcW w:w="1280" w:type="dxa"/>
            <w:tcBorders>
              <w:top w:val="single" w:sz="12" w:space="0" w:color="auto"/>
              <w:left w:val="nil"/>
              <w:bottom w:val="nil"/>
              <w:right w:val="nil"/>
            </w:tcBorders>
            <w:shd w:val="thinDiagCross" w:color="000000" w:fill="CA0000"/>
            <w:noWrap/>
            <w:vAlign w:val="center"/>
            <w:hideMark/>
          </w:tcPr>
          <w:p w14:paraId="56D0AC2D"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15</w:t>
            </w:r>
          </w:p>
        </w:tc>
        <w:tc>
          <w:tcPr>
            <w:tcW w:w="1280" w:type="dxa"/>
            <w:tcBorders>
              <w:top w:val="single" w:sz="12" w:space="0" w:color="auto"/>
              <w:left w:val="nil"/>
              <w:bottom w:val="nil"/>
              <w:right w:val="nil"/>
            </w:tcBorders>
            <w:shd w:val="thinDiagCross" w:color="000000" w:fill="CA0000"/>
            <w:noWrap/>
            <w:vAlign w:val="center"/>
            <w:hideMark/>
          </w:tcPr>
          <w:p w14:paraId="1E6A2FC3"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20</w:t>
            </w:r>
          </w:p>
        </w:tc>
        <w:tc>
          <w:tcPr>
            <w:tcW w:w="1280" w:type="dxa"/>
            <w:tcBorders>
              <w:top w:val="single" w:sz="12" w:space="0" w:color="auto"/>
              <w:left w:val="nil"/>
              <w:bottom w:val="nil"/>
              <w:right w:val="single" w:sz="12" w:space="0" w:color="auto"/>
            </w:tcBorders>
            <w:shd w:val="thinDiagCross" w:color="000000" w:fill="CA0000"/>
            <w:noWrap/>
            <w:vAlign w:val="center"/>
            <w:hideMark/>
          </w:tcPr>
          <w:p w14:paraId="6AB71784"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25</w:t>
            </w:r>
          </w:p>
        </w:tc>
      </w:tr>
      <w:tr w:rsidR="00F00DE8" w:rsidRPr="00011AC6" w14:paraId="644BC194" w14:textId="77777777" w:rsidTr="00415D64">
        <w:trPr>
          <w:trHeight w:val="619"/>
        </w:trPr>
        <w:tc>
          <w:tcPr>
            <w:tcW w:w="1280" w:type="dxa"/>
            <w:shd w:val="clear" w:color="auto" w:fill="FFFFFF"/>
            <w:noWrap/>
            <w:vAlign w:val="center"/>
            <w:hideMark/>
          </w:tcPr>
          <w:p w14:paraId="6F486B27" w14:textId="77777777" w:rsidR="00F00DE8" w:rsidRPr="00011AC6" w:rsidRDefault="00F00DE8" w:rsidP="00415D64">
            <w:pPr>
              <w:jc w:val="center"/>
              <w:rPr>
                <w:rFonts w:cs="Arial"/>
              </w:rPr>
            </w:pPr>
            <w:r w:rsidRPr="00011AC6">
              <w:rPr>
                <w:rFonts w:cs="Arial"/>
              </w:rPr>
              <w:t>Likely</w:t>
            </w:r>
          </w:p>
        </w:tc>
        <w:tc>
          <w:tcPr>
            <w:tcW w:w="800" w:type="dxa"/>
            <w:tcBorders>
              <w:top w:val="nil"/>
              <w:left w:val="nil"/>
              <w:bottom w:val="nil"/>
              <w:right w:val="single" w:sz="12" w:space="0" w:color="auto"/>
            </w:tcBorders>
            <w:shd w:val="clear" w:color="auto" w:fill="FFFFFF"/>
            <w:noWrap/>
            <w:vAlign w:val="center"/>
            <w:hideMark/>
          </w:tcPr>
          <w:p w14:paraId="4843B1AD" w14:textId="77777777" w:rsidR="00F00DE8" w:rsidRPr="00011AC6" w:rsidRDefault="00F00DE8" w:rsidP="00415D64">
            <w:pPr>
              <w:jc w:val="center"/>
              <w:rPr>
                <w:rFonts w:cs="Arial"/>
              </w:rPr>
            </w:pPr>
            <w:r w:rsidRPr="00011AC6">
              <w:rPr>
                <w:rFonts w:cs="Arial"/>
              </w:rPr>
              <w:t>4</w:t>
            </w:r>
          </w:p>
        </w:tc>
        <w:tc>
          <w:tcPr>
            <w:tcW w:w="1280" w:type="dxa"/>
            <w:shd w:val="thinHorzStripe" w:color="000000" w:fill="00843C"/>
            <w:noWrap/>
            <w:vAlign w:val="center"/>
            <w:hideMark/>
          </w:tcPr>
          <w:p w14:paraId="68041316"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4</w:t>
            </w:r>
          </w:p>
        </w:tc>
        <w:tc>
          <w:tcPr>
            <w:tcW w:w="1280" w:type="dxa"/>
            <w:shd w:val="thinVertStripe" w:color="000000" w:fill="DDA600"/>
            <w:noWrap/>
            <w:vAlign w:val="center"/>
            <w:hideMark/>
          </w:tcPr>
          <w:p w14:paraId="7F5D19A4"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8</w:t>
            </w:r>
          </w:p>
        </w:tc>
        <w:tc>
          <w:tcPr>
            <w:tcW w:w="1280" w:type="dxa"/>
            <w:shd w:val="thinVertStripe" w:color="000000" w:fill="DDA600"/>
            <w:noWrap/>
            <w:vAlign w:val="center"/>
            <w:hideMark/>
          </w:tcPr>
          <w:p w14:paraId="31ADA2F0"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12</w:t>
            </w:r>
          </w:p>
        </w:tc>
        <w:tc>
          <w:tcPr>
            <w:tcW w:w="1280" w:type="dxa"/>
            <w:shd w:val="thinDiagCross" w:color="000000" w:fill="CA0000"/>
            <w:noWrap/>
            <w:vAlign w:val="center"/>
            <w:hideMark/>
          </w:tcPr>
          <w:p w14:paraId="6D509C7D"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16</w:t>
            </w:r>
          </w:p>
        </w:tc>
        <w:tc>
          <w:tcPr>
            <w:tcW w:w="1280" w:type="dxa"/>
            <w:tcBorders>
              <w:top w:val="nil"/>
              <w:left w:val="nil"/>
              <w:bottom w:val="nil"/>
              <w:right w:val="single" w:sz="12" w:space="0" w:color="auto"/>
            </w:tcBorders>
            <w:shd w:val="thinDiagCross" w:color="000000" w:fill="CA0000"/>
            <w:noWrap/>
            <w:vAlign w:val="center"/>
            <w:hideMark/>
          </w:tcPr>
          <w:p w14:paraId="4890564E"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20</w:t>
            </w:r>
          </w:p>
        </w:tc>
      </w:tr>
      <w:tr w:rsidR="00F00DE8" w:rsidRPr="00011AC6" w14:paraId="20A1B276" w14:textId="77777777" w:rsidTr="00415D64">
        <w:trPr>
          <w:trHeight w:val="619"/>
        </w:trPr>
        <w:tc>
          <w:tcPr>
            <w:tcW w:w="1280" w:type="dxa"/>
            <w:shd w:val="clear" w:color="auto" w:fill="FFFFFF"/>
            <w:noWrap/>
            <w:vAlign w:val="center"/>
            <w:hideMark/>
          </w:tcPr>
          <w:p w14:paraId="494E4366" w14:textId="77777777" w:rsidR="00F00DE8" w:rsidRPr="00011AC6" w:rsidRDefault="00F00DE8" w:rsidP="00415D64">
            <w:pPr>
              <w:jc w:val="center"/>
              <w:rPr>
                <w:rFonts w:cs="Arial"/>
              </w:rPr>
            </w:pPr>
            <w:r w:rsidRPr="00011AC6">
              <w:rPr>
                <w:rFonts w:cs="Arial"/>
              </w:rPr>
              <w:t>Possible</w:t>
            </w:r>
          </w:p>
        </w:tc>
        <w:tc>
          <w:tcPr>
            <w:tcW w:w="800" w:type="dxa"/>
            <w:tcBorders>
              <w:top w:val="nil"/>
              <w:left w:val="nil"/>
              <w:bottom w:val="nil"/>
              <w:right w:val="single" w:sz="12" w:space="0" w:color="auto"/>
            </w:tcBorders>
            <w:shd w:val="clear" w:color="auto" w:fill="FFFFFF"/>
            <w:noWrap/>
            <w:vAlign w:val="center"/>
            <w:hideMark/>
          </w:tcPr>
          <w:p w14:paraId="5A7C8AD4" w14:textId="77777777" w:rsidR="00F00DE8" w:rsidRPr="00011AC6" w:rsidRDefault="00F00DE8" w:rsidP="00415D64">
            <w:pPr>
              <w:jc w:val="center"/>
              <w:rPr>
                <w:rFonts w:cs="Arial"/>
              </w:rPr>
            </w:pPr>
            <w:r w:rsidRPr="00011AC6">
              <w:rPr>
                <w:rFonts w:cs="Arial"/>
              </w:rPr>
              <w:t>3</w:t>
            </w:r>
          </w:p>
        </w:tc>
        <w:tc>
          <w:tcPr>
            <w:tcW w:w="1280" w:type="dxa"/>
            <w:shd w:val="thinHorzStripe" w:color="000000" w:fill="00843C"/>
            <w:noWrap/>
            <w:vAlign w:val="center"/>
            <w:hideMark/>
          </w:tcPr>
          <w:p w14:paraId="76E6BAA2"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3</w:t>
            </w:r>
          </w:p>
        </w:tc>
        <w:tc>
          <w:tcPr>
            <w:tcW w:w="1280" w:type="dxa"/>
            <w:shd w:val="thinHorzStripe" w:color="000000" w:fill="00843C"/>
            <w:noWrap/>
            <w:vAlign w:val="center"/>
            <w:hideMark/>
          </w:tcPr>
          <w:p w14:paraId="0C92CDF8"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6</w:t>
            </w:r>
          </w:p>
        </w:tc>
        <w:tc>
          <w:tcPr>
            <w:tcW w:w="1280" w:type="dxa"/>
            <w:shd w:val="thinVertStripe" w:color="000000" w:fill="DDA600"/>
            <w:noWrap/>
            <w:vAlign w:val="center"/>
            <w:hideMark/>
          </w:tcPr>
          <w:p w14:paraId="76F452F8"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9</w:t>
            </w:r>
          </w:p>
        </w:tc>
        <w:tc>
          <w:tcPr>
            <w:tcW w:w="1280" w:type="dxa"/>
            <w:shd w:val="thinVertStripe" w:color="000000" w:fill="DDA600"/>
            <w:noWrap/>
            <w:vAlign w:val="center"/>
            <w:hideMark/>
          </w:tcPr>
          <w:p w14:paraId="161FF6EC"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12</w:t>
            </w:r>
          </w:p>
        </w:tc>
        <w:tc>
          <w:tcPr>
            <w:tcW w:w="1280" w:type="dxa"/>
            <w:tcBorders>
              <w:top w:val="nil"/>
              <w:left w:val="nil"/>
              <w:bottom w:val="nil"/>
              <w:right w:val="single" w:sz="12" w:space="0" w:color="auto"/>
            </w:tcBorders>
            <w:shd w:val="thinDiagCross" w:color="000000" w:fill="CA0000"/>
            <w:noWrap/>
            <w:vAlign w:val="center"/>
            <w:hideMark/>
          </w:tcPr>
          <w:p w14:paraId="635074E7"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15</w:t>
            </w:r>
          </w:p>
        </w:tc>
      </w:tr>
      <w:tr w:rsidR="00F00DE8" w:rsidRPr="00011AC6" w14:paraId="497F662D" w14:textId="77777777" w:rsidTr="00415D64">
        <w:trPr>
          <w:trHeight w:val="619"/>
        </w:trPr>
        <w:tc>
          <w:tcPr>
            <w:tcW w:w="1280" w:type="dxa"/>
            <w:shd w:val="clear" w:color="auto" w:fill="FFFFFF"/>
            <w:noWrap/>
            <w:vAlign w:val="center"/>
            <w:hideMark/>
          </w:tcPr>
          <w:p w14:paraId="76482BF6" w14:textId="77777777" w:rsidR="00F00DE8" w:rsidRPr="00011AC6" w:rsidRDefault="00F00DE8" w:rsidP="00415D64">
            <w:pPr>
              <w:jc w:val="center"/>
              <w:rPr>
                <w:rFonts w:cs="Arial"/>
              </w:rPr>
            </w:pPr>
            <w:r w:rsidRPr="00011AC6">
              <w:rPr>
                <w:rFonts w:cs="Arial"/>
              </w:rPr>
              <w:t>Unlikely</w:t>
            </w:r>
          </w:p>
        </w:tc>
        <w:tc>
          <w:tcPr>
            <w:tcW w:w="800" w:type="dxa"/>
            <w:tcBorders>
              <w:top w:val="nil"/>
              <w:left w:val="nil"/>
              <w:bottom w:val="nil"/>
              <w:right w:val="single" w:sz="12" w:space="0" w:color="auto"/>
            </w:tcBorders>
            <w:shd w:val="clear" w:color="auto" w:fill="FFFFFF"/>
            <w:noWrap/>
            <w:vAlign w:val="center"/>
            <w:hideMark/>
          </w:tcPr>
          <w:p w14:paraId="49CB6711" w14:textId="77777777" w:rsidR="00F00DE8" w:rsidRPr="00011AC6" w:rsidRDefault="00F00DE8" w:rsidP="00415D64">
            <w:pPr>
              <w:jc w:val="center"/>
              <w:rPr>
                <w:rFonts w:cs="Arial"/>
              </w:rPr>
            </w:pPr>
            <w:r w:rsidRPr="00011AC6">
              <w:rPr>
                <w:rFonts w:cs="Arial"/>
              </w:rPr>
              <w:t>2</w:t>
            </w:r>
          </w:p>
        </w:tc>
        <w:tc>
          <w:tcPr>
            <w:tcW w:w="1280" w:type="dxa"/>
            <w:shd w:val="thinHorzStripe" w:color="000000" w:fill="00843C"/>
            <w:noWrap/>
            <w:vAlign w:val="center"/>
            <w:hideMark/>
          </w:tcPr>
          <w:p w14:paraId="1B3DC3D4"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2</w:t>
            </w:r>
          </w:p>
        </w:tc>
        <w:tc>
          <w:tcPr>
            <w:tcW w:w="1280" w:type="dxa"/>
            <w:shd w:val="thinHorzStripe" w:color="000000" w:fill="00843C"/>
            <w:noWrap/>
            <w:vAlign w:val="center"/>
            <w:hideMark/>
          </w:tcPr>
          <w:p w14:paraId="2B8E6EE3"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4</w:t>
            </w:r>
          </w:p>
        </w:tc>
        <w:tc>
          <w:tcPr>
            <w:tcW w:w="1280" w:type="dxa"/>
            <w:shd w:val="thinHorzStripe" w:color="000000" w:fill="00843C"/>
            <w:noWrap/>
            <w:vAlign w:val="center"/>
            <w:hideMark/>
          </w:tcPr>
          <w:p w14:paraId="1240D043"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6</w:t>
            </w:r>
          </w:p>
        </w:tc>
        <w:tc>
          <w:tcPr>
            <w:tcW w:w="1280" w:type="dxa"/>
            <w:shd w:val="thinVertStripe" w:color="000000" w:fill="DDA600"/>
            <w:noWrap/>
            <w:vAlign w:val="center"/>
            <w:hideMark/>
          </w:tcPr>
          <w:p w14:paraId="5B824CFD"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8</w:t>
            </w:r>
          </w:p>
        </w:tc>
        <w:tc>
          <w:tcPr>
            <w:tcW w:w="1280" w:type="dxa"/>
            <w:tcBorders>
              <w:top w:val="nil"/>
              <w:left w:val="nil"/>
              <w:bottom w:val="nil"/>
              <w:right w:val="single" w:sz="12" w:space="0" w:color="auto"/>
            </w:tcBorders>
            <w:shd w:val="thinVertStripe" w:color="000000" w:fill="DDA600"/>
            <w:noWrap/>
            <w:vAlign w:val="center"/>
            <w:hideMark/>
          </w:tcPr>
          <w:p w14:paraId="30D07E05"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10</w:t>
            </w:r>
          </w:p>
        </w:tc>
      </w:tr>
      <w:tr w:rsidR="00F00DE8" w:rsidRPr="00011AC6" w14:paraId="00D5C57F" w14:textId="77777777" w:rsidTr="00415D64">
        <w:trPr>
          <w:trHeight w:val="619"/>
        </w:trPr>
        <w:tc>
          <w:tcPr>
            <w:tcW w:w="1280" w:type="dxa"/>
            <w:shd w:val="clear" w:color="auto" w:fill="FFFFFF"/>
            <w:noWrap/>
            <w:vAlign w:val="center"/>
            <w:hideMark/>
          </w:tcPr>
          <w:p w14:paraId="377F9674" w14:textId="77777777" w:rsidR="00F00DE8" w:rsidRPr="00011AC6" w:rsidRDefault="00F00DE8" w:rsidP="00415D64">
            <w:pPr>
              <w:jc w:val="center"/>
              <w:rPr>
                <w:rFonts w:cs="Arial"/>
              </w:rPr>
            </w:pPr>
            <w:r w:rsidRPr="00011AC6">
              <w:rPr>
                <w:rFonts w:cs="Arial"/>
              </w:rPr>
              <w:t>Rare</w:t>
            </w:r>
          </w:p>
        </w:tc>
        <w:tc>
          <w:tcPr>
            <w:tcW w:w="800" w:type="dxa"/>
            <w:tcBorders>
              <w:top w:val="nil"/>
              <w:left w:val="nil"/>
              <w:bottom w:val="nil"/>
              <w:right w:val="single" w:sz="12" w:space="0" w:color="auto"/>
            </w:tcBorders>
            <w:shd w:val="clear" w:color="auto" w:fill="FFFFFF"/>
            <w:noWrap/>
            <w:vAlign w:val="center"/>
            <w:hideMark/>
          </w:tcPr>
          <w:p w14:paraId="34BBAC45" w14:textId="77777777" w:rsidR="00F00DE8" w:rsidRPr="00011AC6" w:rsidRDefault="00F00DE8" w:rsidP="00415D64">
            <w:pPr>
              <w:jc w:val="center"/>
              <w:rPr>
                <w:rFonts w:cs="Arial"/>
              </w:rPr>
            </w:pPr>
            <w:r w:rsidRPr="00011AC6">
              <w:rPr>
                <w:rFonts w:cs="Arial"/>
              </w:rPr>
              <w:t>1</w:t>
            </w:r>
          </w:p>
        </w:tc>
        <w:tc>
          <w:tcPr>
            <w:tcW w:w="1280" w:type="dxa"/>
            <w:tcBorders>
              <w:top w:val="nil"/>
              <w:left w:val="nil"/>
              <w:bottom w:val="single" w:sz="12" w:space="0" w:color="auto"/>
              <w:right w:val="nil"/>
            </w:tcBorders>
            <w:shd w:val="thinHorzStripe" w:color="000000" w:fill="00843C"/>
            <w:noWrap/>
            <w:vAlign w:val="center"/>
            <w:hideMark/>
          </w:tcPr>
          <w:p w14:paraId="1ECC9B86"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1</w:t>
            </w:r>
          </w:p>
        </w:tc>
        <w:tc>
          <w:tcPr>
            <w:tcW w:w="1280" w:type="dxa"/>
            <w:tcBorders>
              <w:top w:val="nil"/>
              <w:left w:val="nil"/>
              <w:bottom w:val="single" w:sz="12" w:space="0" w:color="auto"/>
              <w:right w:val="nil"/>
            </w:tcBorders>
            <w:shd w:val="thinHorzStripe" w:color="000000" w:fill="00843C"/>
            <w:noWrap/>
            <w:vAlign w:val="center"/>
            <w:hideMark/>
          </w:tcPr>
          <w:p w14:paraId="2A772FF5"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2</w:t>
            </w:r>
          </w:p>
        </w:tc>
        <w:tc>
          <w:tcPr>
            <w:tcW w:w="1280" w:type="dxa"/>
            <w:tcBorders>
              <w:top w:val="nil"/>
              <w:left w:val="nil"/>
              <w:bottom w:val="single" w:sz="12" w:space="0" w:color="auto"/>
              <w:right w:val="nil"/>
            </w:tcBorders>
            <w:shd w:val="thinHorzStripe" w:color="000000" w:fill="00843C"/>
            <w:noWrap/>
            <w:vAlign w:val="center"/>
            <w:hideMark/>
          </w:tcPr>
          <w:p w14:paraId="3977A066"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3</w:t>
            </w:r>
          </w:p>
        </w:tc>
        <w:tc>
          <w:tcPr>
            <w:tcW w:w="1280" w:type="dxa"/>
            <w:tcBorders>
              <w:top w:val="nil"/>
              <w:left w:val="nil"/>
              <w:bottom w:val="single" w:sz="12" w:space="0" w:color="auto"/>
              <w:right w:val="nil"/>
            </w:tcBorders>
            <w:shd w:val="thinHorzStripe" w:color="000000" w:fill="00843C"/>
            <w:noWrap/>
            <w:vAlign w:val="center"/>
            <w:hideMark/>
          </w:tcPr>
          <w:p w14:paraId="3D512D17"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4</w:t>
            </w:r>
          </w:p>
        </w:tc>
        <w:tc>
          <w:tcPr>
            <w:tcW w:w="1280" w:type="dxa"/>
            <w:tcBorders>
              <w:top w:val="nil"/>
              <w:left w:val="nil"/>
              <w:bottom w:val="single" w:sz="12" w:space="0" w:color="auto"/>
              <w:right w:val="single" w:sz="12" w:space="0" w:color="auto"/>
            </w:tcBorders>
            <w:shd w:val="thinVertStripe" w:color="000000" w:fill="DDA600"/>
            <w:noWrap/>
            <w:vAlign w:val="center"/>
            <w:hideMark/>
          </w:tcPr>
          <w:p w14:paraId="6E3BA27F" w14:textId="77777777" w:rsidR="00F00DE8" w:rsidRPr="00F00DE8" w:rsidRDefault="00F00DE8" w:rsidP="00415D64">
            <w:pPr>
              <w:jc w:val="center"/>
              <w:rPr>
                <w:rFonts w:cs="Arial"/>
                <w:b/>
                <w:bCs/>
                <w:color w:val="FFFFFF" w:themeColor="background1"/>
              </w:rPr>
            </w:pPr>
            <w:r w:rsidRPr="00F00DE8">
              <w:rPr>
                <w:rFonts w:cs="Arial"/>
                <w:b/>
                <w:bCs/>
                <w:color w:val="FFFFFF" w:themeColor="background1"/>
              </w:rPr>
              <w:t>5</w:t>
            </w:r>
          </w:p>
        </w:tc>
      </w:tr>
      <w:tr w:rsidR="00F00DE8" w:rsidRPr="00011AC6" w14:paraId="42278D10" w14:textId="77777777" w:rsidTr="00415D64">
        <w:trPr>
          <w:trHeight w:val="315"/>
        </w:trPr>
        <w:tc>
          <w:tcPr>
            <w:tcW w:w="1280" w:type="dxa"/>
            <w:shd w:val="clear" w:color="auto" w:fill="FFFFFF"/>
            <w:noWrap/>
            <w:vAlign w:val="center"/>
            <w:hideMark/>
          </w:tcPr>
          <w:p w14:paraId="24064738" w14:textId="77777777" w:rsidR="00F00DE8" w:rsidRPr="00011AC6" w:rsidRDefault="00F00DE8" w:rsidP="00415D64">
            <w:pPr>
              <w:rPr>
                <w:rFonts w:cs="Arial"/>
              </w:rPr>
            </w:pPr>
            <w:r w:rsidRPr="00011AC6">
              <w:rPr>
                <w:rFonts w:cs="Arial"/>
              </w:rPr>
              <w:t> </w:t>
            </w:r>
          </w:p>
        </w:tc>
        <w:tc>
          <w:tcPr>
            <w:tcW w:w="800" w:type="dxa"/>
            <w:shd w:val="clear" w:color="auto" w:fill="FFFFFF"/>
            <w:noWrap/>
            <w:vAlign w:val="center"/>
            <w:hideMark/>
          </w:tcPr>
          <w:p w14:paraId="1FE6FE06" w14:textId="77777777" w:rsidR="00F00DE8" w:rsidRPr="00011AC6" w:rsidRDefault="00F00DE8" w:rsidP="00415D64">
            <w:pPr>
              <w:rPr>
                <w:rFonts w:cs="Arial"/>
              </w:rPr>
            </w:pPr>
            <w:r w:rsidRPr="00011AC6">
              <w:rPr>
                <w:rFonts w:cs="Arial"/>
              </w:rPr>
              <w:t> </w:t>
            </w:r>
          </w:p>
        </w:tc>
        <w:tc>
          <w:tcPr>
            <w:tcW w:w="1280" w:type="dxa"/>
            <w:shd w:val="clear" w:color="auto" w:fill="FFFFFF"/>
            <w:noWrap/>
            <w:vAlign w:val="center"/>
            <w:hideMark/>
          </w:tcPr>
          <w:p w14:paraId="7BABE084" w14:textId="77777777" w:rsidR="00F00DE8" w:rsidRPr="00011AC6" w:rsidRDefault="00F00DE8" w:rsidP="00415D64">
            <w:pPr>
              <w:jc w:val="center"/>
              <w:rPr>
                <w:rFonts w:cs="Arial"/>
              </w:rPr>
            </w:pPr>
            <w:r w:rsidRPr="00011AC6">
              <w:rPr>
                <w:rFonts w:cs="Arial"/>
              </w:rPr>
              <w:t>1</w:t>
            </w:r>
          </w:p>
        </w:tc>
        <w:tc>
          <w:tcPr>
            <w:tcW w:w="1280" w:type="dxa"/>
            <w:shd w:val="clear" w:color="auto" w:fill="FFFFFF"/>
            <w:noWrap/>
            <w:vAlign w:val="center"/>
            <w:hideMark/>
          </w:tcPr>
          <w:p w14:paraId="0BD11038" w14:textId="77777777" w:rsidR="00F00DE8" w:rsidRPr="00011AC6" w:rsidRDefault="00F00DE8" w:rsidP="00415D64">
            <w:pPr>
              <w:jc w:val="center"/>
              <w:rPr>
                <w:rFonts w:cs="Arial"/>
              </w:rPr>
            </w:pPr>
            <w:r w:rsidRPr="00011AC6">
              <w:rPr>
                <w:rFonts w:cs="Arial"/>
              </w:rPr>
              <w:t>2</w:t>
            </w:r>
          </w:p>
        </w:tc>
        <w:tc>
          <w:tcPr>
            <w:tcW w:w="1280" w:type="dxa"/>
            <w:shd w:val="clear" w:color="auto" w:fill="FFFFFF"/>
            <w:noWrap/>
            <w:vAlign w:val="center"/>
            <w:hideMark/>
          </w:tcPr>
          <w:p w14:paraId="6E67F18F" w14:textId="77777777" w:rsidR="00F00DE8" w:rsidRPr="00011AC6" w:rsidRDefault="00F00DE8" w:rsidP="00415D64">
            <w:pPr>
              <w:jc w:val="center"/>
              <w:rPr>
                <w:rFonts w:cs="Arial"/>
              </w:rPr>
            </w:pPr>
            <w:r w:rsidRPr="00011AC6">
              <w:rPr>
                <w:rFonts w:cs="Arial"/>
              </w:rPr>
              <w:t>3</w:t>
            </w:r>
          </w:p>
        </w:tc>
        <w:tc>
          <w:tcPr>
            <w:tcW w:w="1280" w:type="dxa"/>
            <w:shd w:val="clear" w:color="auto" w:fill="FFFFFF"/>
            <w:noWrap/>
            <w:vAlign w:val="center"/>
            <w:hideMark/>
          </w:tcPr>
          <w:p w14:paraId="24AAE427" w14:textId="77777777" w:rsidR="00F00DE8" w:rsidRPr="00011AC6" w:rsidRDefault="00F00DE8" w:rsidP="00415D64">
            <w:pPr>
              <w:jc w:val="center"/>
              <w:rPr>
                <w:rFonts w:cs="Arial"/>
              </w:rPr>
            </w:pPr>
            <w:r w:rsidRPr="00011AC6">
              <w:rPr>
                <w:rFonts w:cs="Arial"/>
              </w:rPr>
              <w:t>4</w:t>
            </w:r>
          </w:p>
        </w:tc>
        <w:tc>
          <w:tcPr>
            <w:tcW w:w="1280" w:type="dxa"/>
            <w:shd w:val="clear" w:color="auto" w:fill="FFFFFF"/>
            <w:noWrap/>
            <w:vAlign w:val="center"/>
            <w:hideMark/>
          </w:tcPr>
          <w:p w14:paraId="4AFF608B" w14:textId="77777777" w:rsidR="00F00DE8" w:rsidRPr="00011AC6" w:rsidRDefault="00F00DE8" w:rsidP="00415D64">
            <w:pPr>
              <w:jc w:val="center"/>
              <w:rPr>
                <w:rFonts w:cs="Arial"/>
              </w:rPr>
            </w:pPr>
            <w:r w:rsidRPr="00011AC6">
              <w:rPr>
                <w:rFonts w:cs="Arial"/>
              </w:rPr>
              <w:t>5</w:t>
            </w:r>
          </w:p>
        </w:tc>
      </w:tr>
      <w:tr w:rsidR="00F00DE8" w:rsidRPr="00011AC6" w14:paraId="1337BB45" w14:textId="77777777" w:rsidTr="00415D64">
        <w:trPr>
          <w:trHeight w:val="300"/>
        </w:trPr>
        <w:tc>
          <w:tcPr>
            <w:tcW w:w="1280" w:type="dxa"/>
            <w:shd w:val="clear" w:color="auto" w:fill="FFFFFF"/>
            <w:noWrap/>
            <w:vAlign w:val="center"/>
            <w:hideMark/>
          </w:tcPr>
          <w:p w14:paraId="025B6D1E" w14:textId="77777777" w:rsidR="00F00DE8" w:rsidRPr="00011AC6" w:rsidRDefault="00F00DE8" w:rsidP="00415D64">
            <w:pPr>
              <w:rPr>
                <w:rFonts w:cs="Arial"/>
              </w:rPr>
            </w:pPr>
            <w:r w:rsidRPr="00011AC6">
              <w:rPr>
                <w:rFonts w:cs="Arial"/>
              </w:rPr>
              <w:t> </w:t>
            </w:r>
          </w:p>
        </w:tc>
        <w:tc>
          <w:tcPr>
            <w:tcW w:w="800" w:type="dxa"/>
            <w:shd w:val="clear" w:color="auto" w:fill="FFFFFF"/>
            <w:noWrap/>
            <w:vAlign w:val="center"/>
            <w:hideMark/>
          </w:tcPr>
          <w:p w14:paraId="0875C442" w14:textId="77777777" w:rsidR="00F00DE8" w:rsidRPr="00011AC6" w:rsidRDefault="00F00DE8" w:rsidP="00415D64">
            <w:pPr>
              <w:jc w:val="center"/>
              <w:rPr>
                <w:rFonts w:cs="Arial"/>
                <w:b/>
                <w:bCs/>
                <w:sz w:val="22"/>
                <w:szCs w:val="22"/>
              </w:rPr>
            </w:pPr>
            <w:r w:rsidRPr="00011AC6">
              <w:rPr>
                <w:rFonts w:cs="Arial"/>
                <w:b/>
                <w:bCs/>
                <w:sz w:val="22"/>
                <w:szCs w:val="22"/>
              </w:rPr>
              <w:t>Impact</w:t>
            </w:r>
          </w:p>
        </w:tc>
        <w:tc>
          <w:tcPr>
            <w:tcW w:w="1280" w:type="dxa"/>
            <w:shd w:val="clear" w:color="auto" w:fill="FFFFFF"/>
            <w:noWrap/>
            <w:vAlign w:val="center"/>
            <w:hideMark/>
          </w:tcPr>
          <w:p w14:paraId="28F6DFD6" w14:textId="77777777" w:rsidR="00F00DE8" w:rsidRPr="00011AC6" w:rsidRDefault="00F00DE8" w:rsidP="00415D64">
            <w:pPr>
              <w:jc w:val="center"/>
              <w:rPr>
                <w:rFonts w:cs="Arial"/>
                <w:sz w:val="22"/>
                <w:szCs w:val="22"/>
              </w:rPr>
            </w:pPr>
            <w:r w:rsidRPr="00011AC6">
              <w:rPr>
                <w:rFonts w:cs="Arial"/>
                <w:sz w:val="22"/>
                <w:szCs w:val="22"/>
              </w:rPr>
              <w:t>Insignificant</w:t>
            </w:r>
          </w:p>
        </w:tc>
        <w:tc>
          <w:tcPr>
            <w:tcW w:w="1280" w:type="dxa"/>
            <w:shd w:val="clear" w:color="auto" w:fill="FFFFFF"/>
            <w:noWrap/>
            <w:vAlign w:val="center"/>
            <w:hideMark/>
          </w:tcPr>
          <w:p w14:paraId="21F5E6A2" w14:textId="77777777" w:rsidR="00F00DE8" w:rsidRPr="00011AC6" w:rsidRDefault="00F00DE8" w:rsidP="00415D64">
            <w:pPr>
              <w:jc w:val="center"/>
              <w:rPr>
                <w:rFonts w:cs="Arial"/>
                <w:sz w:val="22"/>
                <w:szCs w:val="22"/>
              </w:rPr>
            </w:pPr>
            <w:r w:rsidRPr="00011AC6">
              <w:rPr>
                <w:rFonts w:cs="Arial"/>
                <w:sz w:val="22"/>
                <w:szCs w:val="22"/>
              </w:rPr>
              <w:t>Minor</w:t>
            </w:r>
          </w:p>
        </w:tc>
        <w:tc>
          <w:tcPr>
            <w:tcW w:w="1280" w:type="dxa"/>
            <w:shd w:val="clear" w:color="auto" w:fill="FFFFFF"/>
            <w:noWrap/>
            <w:vAlign w:val="center"/>
            <w:hideMark/>
          </w:tcPr>
          <w:p w14:paraId="719D8D88" w14:textId="77777777" w:rsidR="00F00DE8" w:rsidRPr="00011AC6" w:rsidRDefault="00F00DE8" w:rsidP="00415D64">
            <w:pPr>
              <w:jc w:val="center"/>
              <w:rPr>
                <w:rFonts w:cs="Arial"/>
                <w:sz w:val="22"/>
                <w:szCs w:val="22"/>
              </w:rPr>
            </w:pPr>
            <w:r w:rsidRPr="00011AC6">
              <w:rPr>
                <w:rFonts w:cs="Arial"/>
                <w:sz w:val="22"/>
                <w:szCs w:val="22"/>
              </w:rPr>
              <w:t>Moderate</w:t>
            </w:r>
          </w:p>
        </w:tc>
        <w:tc>
          <w:tcPr>
            <w:tcW w:w="1280" w:type="dxa"/>
            <w:shd w:val="clear" w:color="auto" w:fill="FFFFFF"/>
            <w:noWrap/>
            <w:vAlign w:val="center"/>
            <w:hideMark/>
          </w:tcPr>
          <w:p w14:paraId="444B9733" w14:textId="77777777" w:rsidR="00F00DE8" w:rsidRPr="00011AC6" w:rsidRDefault="00F00DE8" w:rsidP="00415D64">
            <w:pPr>
              <w:jc w:val="center"/>
              <w:rPr>
                <w:rFonts w:cs="Arial"/>
                <w:sz w:val="22"/>
                <w:szCs w:val="22"/>
              </w:rPr>
            </w:pPr>
            <w:r w:rsidRPr="00011AC6">
              <w:rPr>
                <w:rFonts w:cs="Arial"/>
                <w:sz w:val="22"/>
                <w:szCs w:val="22"/>
              </w:rPr>
              <w:t>Major</w:t>
            </w:r>
          </w:p>
        </w:tc>
        <w:tc>
          <w:tcPr>
            <w:tcW w:w="1280" w:type="dxa"/>
            <w:shd w:val="clear" w:color="auto" w:fill="FFFFFF"/>
            <w:noWrap/>
            <w:vAlign w:val="center"/>
            <w:hideMark/>
          </w:tcPr>
          <w:p w14:paraId="22F45A45" w14:textId="77777777" w:rsidR="00F00DE8" w:rsidRPr="00011AC6" w:rsidRDefault="00F00DE8" w:rsidP="00415D64">
            <w:pPr>
              <w:jc w:val="center"/>
              <w:rPr>
                <w:rFonts w:cs="Arial"/>
                <w:sz w:val="22"/>
                <w:szCs w:val="22"/>
              </w:rPr>
            </w:pPr>
            <w:r w:rsidRPr="00011AC6">
              <w:rPr>
                <w:rFonts w:cs="Arial"/>
                <w:sz w:val="22"/>
                <w:szCs w:val="22"/>
              </w:rPr>
              <w:t>Severe</w:t>
            </w:r>
          </w:p>
        </w:tc>
      </w:tr>
    </w:tbl>
    <w:p w14:paraId="5C18145D" w14:textId="77777777" w:rsidR="002329CF" w:rsidRDefault="002329CF" w:rsidP="004A6D2F"/>
    <w:tbl>
      <w:tblPr>
        <w:tblW w:w="7868" w:type="dxa"/>
        <w:tblInd w:w="93" w:type="dxa"/>
        <w:tblLook w:val="04A0" w:firstRow="1" w:lastRow="0" w:firstColumn="1" w:lastColumn="0" w:noHBand="0" w:noVBand="1"/>
      </w:tblPr>
      <w:tblGrid>
        <w:gridCol w:w="1967"/>
        <w:gridCol w:w="1967"/>
        <w:gridCol w:w="1967"/>
        <w:gridCol w:w="1967"/>
      </w:tblGrid>
      <w:tr w:rsidR="00F00DE8" w:rsidRPr="00A91CBA" w14:paraId="61515EEF" w14:textId="77777777" w:rsidTr="00415D64">
        <w:trPr>
          <w:trHeight w:val="285"/>
        </w:trPr>
        <w:tc>
          <w:tcPr>
            <w:tcW w:w="1967" w:type="dxa"/>
            <w:tcBorders>
              <w:top w:val="nil"/>
              <w:left w:val="nil"/>
              <w:bottom w:val="nil"/>
              <w:right w:val="nil"/>
            </w:tcBorders>
            <w:shd w:val="clear" w:color="auto" w:fill="auto"/>
            <w:noWrap/>
            <w:vAlign w:val="center"/>
            <w:hideMark/>
          </w:tcPr>
          <w:p w14:paraId="22D22CDF" w14:textId="77777777" w:rsidR="00F00DE8" w:rsidRPr="00A91CBA" w:rsidRDefault="00F00DE8" w:rsidP="00415D64">
            <w:pPr>
              <w:rPr>
                <w:rFonts w:cs="Arial"/>
                <w:b/>
                <w:bCs/>
              </w:rPr>
            </w:pPr>
            <w:r w:rsidRPr="00A91CBA">
              <w:rPr>
                <w:rFonts w:cs="Arial"/>
                <w:b/>
                <w:bCs/>
              </w:rPr>
              <w:t>Key:</w:t>
            </w:r>
          </w:p>
        </w:tc>
        <w:tc>
          <w:tcPr>
            <w:tcW w:w="1967"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74102EDD" w14:textId="77777777" w:rsidR="00F00DE8" w:rsidRPr="00A91CBA" w:rsidRDefault="00F00DE8" w:rsidP="00415D64">
            <w:pPr>
              <w:jc w:val="center"/>
              <w:rPr>
                <w:rFonts w:cs="Arial"/>
                <w:b/>
                <w:bCs/>
                <w:color w:val="FFFFFF"/>
              </w:rPr>
            </w:pPr>
            <w:r w:rsidRPr="00A91CBA">
              <w:rPr>
                <w:rFonts w:cs="Arial"/>
                <w:b/>
                <w:bCs/>
                <w:color w:val="FFFFFF"/>
              </w:rPr>
              <w:t>Green</w:t>
            </w:r>
          </w:p>
        </w:tc>
        <w:tc>
          <w:tcPr>
            <w:tcW w:w="1967" w:type="dxa"/>
            <w:tcBorders>
              <w:top w:val="single" w:sz="8" w:space="0" w:color="auto"/>
              <w:left w:val="nil"/>
              <w:bottom w:val="single" w:sz="8" w:space="0" w:color="auto"/>
              <w:right w:val="single" w:sz="8" w:space="0" w:color="auto"/>
            </w:tcBorders>
            <w:shd w:val="clear" w:color="000000" w:fill="FFC000"/>
            <w:vAlign w:val="center"/>
            <w:hideMark/>
          </w:tcPr>
          <w:p w14:paraId="2BE2DBE8" w14:textId="77777777" w:rsidR="00F00DE8" w:rsidRPr="00A91CBA" w:rsidRDefault="00F00DE8" w:rsidP="00415D64">
            <w:pPr>
              <w:jc w:val="center"/>
              <w:rPr>
                <w:rFonts w:cs="Arial"/>
                <w:b/>
                <w:bCs/>
                <w:color w:val="FFFFFF"/>
              </w:rPr>
            </w:pPr>
            <w:r w:rsidRPr="00A91CBA">
              <w:rPr>
                <w:rFonts w:cs="Arial"/>
                <w:b/>
                <w:bCs/>
                <w:color w:val="FFFFFF"/>
              </w:rPr>
              <w:t>Amber</w:t>
            </w:r>
          </w:p>
        </w:tc>
        <w:tc>
          <w:tcPr>
            <w:tcW w:w="1967" w:type="dxa"/>
            <w:tcBorders>
              <w:top w:val="single" w:sz="8" w:space="0" w:color="auto"/>
              <w:left w:val="nil"/>
              <w:bottom w:val="single" w:sz="8" w:space="0" w:color="auto"/>
              <w:right w:val="single" w:sz="8" w:space="0" w:color="auto"/>
            </w:tcBorders>
            <w:shd w:val="clear" w:color="000000" w:fill="FF0000"/>
            <w:vAlign w:val="center"/>
            <w:hideMark/>
          </w:tcPr>
          <w:p w14:paraId="391B246E" w14:textId="77777777" w:rsidR="00F00DE8" w:rsidRPr="00A91CBA" w:rsidRDefault="00F00DE8" w:rsidP="00415D64">
            <w:pPr>
              <w:jc w:val="center"/>
              <w:rPr>
                <w:rFonts w:cs="Arial"/>
                <w:b/>
                <w:bCs/>
                <w:color w:val="FFFFFF"/>
              </w:rPr>
            </w:pPr>
            <w:r w:rsidRPr="00A91CBA">
              <w:rPr>
                <w:rFonts w:cs="Arial"/>
                <w:b/>
                <w:bCs/>
                <w:color w:val="FFFFFF"/>
              </w:rPr>
              <w:t>Red</w:t>
            </w:r>
          </w:p>
        </w:tc>
      </w:tr>
      <w:tr w:rsidR="00F00DE8" w:rsidRPr="00A91CBA" w14:paraId="33D78E5B" w14:textId="77777777" w:rsidTr="00415D64">
        <w:trPr>
          <w:trHeight w:val="272"/>
        </w:trPr>
        <w:tc>
          <w:tcPr>
            <w:tcW w:w="1967" w:type="dxa"/>
            <w:tcBorders>
              <w:top w:val="nil"/>
              <w:left w:val="nil"/>
              <w:bottom w:val="nil"/>
              <w:right w:val="nil"/>
            </w:tcBorders>
            <w:shd w:val="clear" w:color="auto" w:fill="auto"/>
            <w:noWrap/>
            <w:vAlign w:val="bottom"/>
            <w:hideMark/>
          </w:tcPr>
          <w:p w14:paraId="09B3E1E6" w14:textId="77777777" w:rsidR="00F00DE8" w:rsidRPr="00A91CBA" w:rsidRDefault="00F00DE8" w:rsidP="00415D64">
            <w:pPr>
              <w:rPr>
                <w:rFonts w:ascii="Calibri" w:hAnsi="Calibri" w:cs="Calibri"/>
                <w:sz w:val="22"/>
                <w:szCs w:val="22"/>
              </w:rPr>
            </w:pPr>
          </w:p>
        </w:tc>
        <w:tc>
          <w:tcPr>
            <w:tcW w:w="1967" w:type="dxa"/>
            <w:tcBorders>
              <w:top w:val="nil"/>
              <w:left w:val="single" w:sz="8" w:space="0" w:color="auto"/>
              <w:bottom w:val="single" w:sz="8" w:space="0" w:color="auto"/>
              <w:right w:val="single" w:sz="8" w:space="0" w:color="auto"/>
            </w:tcBorders>
            <w:shd w:val="thinHorzStripe" w:color="000000" w:fill="00B050"/>
            <w:vAlign w:val="center"/>
            <w:hideMark/>
          </w:tcPr>
          <w:p w14:paraId="54EDFDAF" w14:textId="77777777" w:rsidR="00F00DE8" w:rsidRPr="00A91CBA" w:rsidRDefault="00F00DE8" w:rsidP="00415D64">
            <w:pPr>
              <w:rPr>
                <w:rFonts w:cs="Arial"/>
              </w:rPr>
            </w:pPr>
            <w:r w:rsidRPr="00A91CBA">
              <w:rPr>
                <w:rFonts w:eastAsiaTheme="minorHAnsi" w:cs="Arial"/>
              </w:rPr>
              <w:t> </w:t>
            </w:r>
          </w:p>
        </w:tc>
        <w:tc>
          <w:tcPr>
            <w:tcW w:w="1967" w:type="dxa"/>
            <w:tcBorders>
              <w:top w:val="nil"/>
              <w:left w:val="nil"/>
              <w:bottom w:val="single" w:sz="8" w:space="0" w:color="auto"/>
              <w:right w:val="single" w:sz="8" w:space="0" w:color="auto"/>
            </w:tcBorders>
            <w:shd w:val="thinVertStripe" w:color="000000" w:fill="FFC000"/>
            <w:vAlign w:val="center"/>
            <w:hideMark/>
          </w:tcPr>
          <w:p w14:paraId="492A0734" w14:textId="77777777" w:rsidR="00F00DE8" w:rsidRPr="00A91CBA" w:rsidRDefault="00F00DE8" w:rsidP="00415D64">
            <w:pPr>
              <w:rPr>
                <w:rFonts w:cs="Arial"/>
              </w:rPr>
            </w:pPr>
            <w:r w:rsidRPr="00A91CBA">
              <w:rPr>
                <w:rFonts w:eastAsiaTheme="minorHAnsi" w:cs="Arial"/>
              </w:rPr>
              <w:t> </w:t>
            </w:r>
          </w:p>
        </w:tc>
        <w:tc>
          <w:tcPr>
            <w:tcW w:w="1967" w:type="dxa"/>
            <w:tcBorders>
              <w:top w:val="nil"/>
              <w:left w:val="nil"/>
              <w:bottom w:val="single" w:sz="8" w:space="0" w:color="auto"/>
              <w:right w:val="single" w:sz="8" w:space="0" w:color="auto"/>
            </w:tcBorders>
            <w:shd w:val="thinDiagCross" w:color="000000" w:fill="FF0000"/>
            <w:vAlign w:val="center"/>
            <w:hideMark/>
          </w:tcPr>
          <w:p w14:paraId="6C632D8E" w14:textId="77777777" w:rsidR="00F00DE8" w:rsidRPr="00A91CBA" w:rsidRDefault="00F00DE8" w:rsidP="00415D64">
            <w:pPr>
              <w:rPr>
                <w:rFonts w:cs="Arial"/>
              </w:rPr>
            </w:pPr>
            <w:r w:rsidRPr="00A91CBA">
              <w:rPr>
                <w:rFonts w:eastAsiaTheme="minorHAnsi" w:cs="Arial"/>
              </w:rPr>
              <w:t> </w:t>
            </w:r>
          </w:p>
        </w:tc>
      </w:tr>
    </w:tbl>
    <w:p w14:paraId="6F7D16F1" w14:textId="77777777" w:rsidR="00F00DE8" w:rsidRDefault="00F00DE8" w:rsidP="004A6D2F"/>
    <w:p w14:paraId="1070878F" w14:textId="77777777" w:rsidR="00F00DE8" w:rsidRPr="00F00DE8" w:rsidRDefault="00F00DE8" w:rsidP="00F00DE8">
      <w:pPr>
        <w:pStyle w:val="Heading1"/>
      </w:pPr>
      <w:r>
        <w:t xml:space="preserve">Risk </w:t>
      </w:r>
      <w:r w:rsidRPr="00A91CBA">
        <w:t>Identification</w:t>
      </w:r>
    </w:p>
    <w:p w14:paraId="480D350B" w14:textId="7DA0F60E" w:rsidR="00F00DE8" w:rsidRDefault="00F00DE8" w:rsidP="00F00DE8">
      <w:pPr>
        <w:pStyle w:val="bParagraphtext"/>
      </w:pPr>
      <w:r w:rsidRPr="00A91CBA">
        <w:rPr>
          <w:b/>
        </w:rPr>
        <w:t xml:space="preserve">Corporate Risks – </w:t>
      </w:r>
      <w:r w:rsidRPr="00A91CBA">
        <w:t xml:space="preserve">The Corporate Risk Register (CRR) is reviewed </w:t>
      </w:r>
      <w:r w:rsidR="00C84953">
        <w:t xml:space="preserve">periodically </w:t>
      </w:r>
      <w:r w:rsidRPr="00A91CBA">
        <w:t>by the Corporate Management Team (CMT)</w:t>
      </w:r>
      <w:r w:rsidR="00DD7F26">
        <w:t>. A</w:t>
      </w:r>
      <w:r w:rsidRPr="00A91CBA">
        <w:t xml:space="preserve">ny new risks </w:t>
      </w:r>
      <w:proofErr w:type="gramStart"/>
      <w:r w:rsidRPr="00A91CBA">
        <w:t>are incorporated</w:t>
      </w:r>
      <w:proofErr w:type="gramEnd"/>
      <w:r w:rsidRPr="00A91CBA">
        <w:t xml:space="preserve"> into a revised version of the CRR.  </w:t>
      </w:r>
      <w:r w:rsidR="00A411A3">
        <w:t>The Corporate Management Team will</w:t>
      </w:r>
      <w:r w:rsidR="006A5D45">
        <w:t xml:space="preserve"> </w:t>
      </w:r>
      <w:r w:rsidR="00A411A3">
        <w:t xml:space="preserve">undertake a review of the CRR on 3 February 2025.  </w:t>
      </w:r>
      <w:r w:rsidRPr="00A91CBA">
        <w:t xml:space="preserve">Risk owners </w:t>
      </w:r>
      <w:r>
        <w:t>of</w:t>
      </w:r>
      <w:r w:rsidRPr="00A91CBA">
        <w:t xml:space="preserve"> corporate risks are </w:t>
      </w:r>
      <w:proofErr w:type="gramStart"/>
      <w:r w:rsidRPr="00A91CBA">
        <w:t xml:space="preserve">generally </w:t>
      </w:r>
      <w:r>
        <w:t>Executive</w:t>
      </w:r>
      <w:proofErr w:type="gramEnd"/>
      <w:r>
        <w:t xml:space="preserve"> </w:t>
      </w:r>
      <w:r w:rsidRPr="00A91CBA">
        <w:t>Director</w:t>
      </w:r>
      <w:r>
        <w:t>s</w:t>
      </w:r>
      <w:r w:rsidR="00F01B59">
        <w:t xml:space="preserve"> or Heads of Service</w:t>
      </w:r>
      <w:r>
        <w:t>.</w:t>
      </w:r>
    </w:p>
    <w:p w14:paraId="3DB8B466" w14:textId="0FD4BFF4" w:rsidR="00F00DE8" w:rsidRPr="003722CF" w:rsidRDefault="00F00DE8" w:rsidP="00F00DE8">
      <w:pPr>
        <w:pStyle w:val="bParagraphtext"/>
      </w:pPr>
      <w:r w:rsidRPr="00A91CBA">
        <w:rPr>
          <w:b/>
        </w:rPr>
        <w:t xml:space="preserve">Service Risks – </w:t>
      </w:r>
      <w:r w:rsidRPr="00A91CBA">
        <w:t xml:space="preserve">Service risks are reviewed periodically by Heads of Service and Service Managers.  The </w:t>
      </w:r>
      <w:r w:rsidR="00A84C0F">
        <w:t>Risk Management Group</w:t>
      </w:r>
      <w:r w:rsidRPr="00A91CBA">
        <w:t xml:space="preserve"> has oversight of all risks and </w:t>
      </w:r>
      <w:r w:rsidR="00A84C0F">
        <w:t xml:space="preserve">at its meetings </w:t>
      </w:r>
      <w:r w:rsidRPr="00A91CBA">
        <w:t xml:space="preserve">will </w:t>
      </w:r>
      <w:r w:rsidR="00A84C0F">
        <w:t xml:space="preserve">periodically </w:t>
      </w:r>
      <w:r w:rsidRPr="00A91CBA">
        <w:t xml:space="preserve">review </w:t>
      </w:r>
      <w:r w:rsidR="00C84953">
        <w:t>the</w:t>
      </w:r>
      <w:r w:rsidR="007C1CB4">
        <w:t>m</w:t>
      </w:r>
      <w:r w:rsidRPr="00A91CBA">
        <w:t xml:space="preserve"> to determine </w:t>
      </w:r>
      <w:r>
        <w:t>whether they should be considered f</w:t>
      </w:r>
      <w:r w:rsidRPr="00A91CBA">
        <w:t>or inclusion in the C</w:t>
      </w:r>
      <w:r w:rsidR="006A5D45">
        <w:t>RR</w:t>
      </w:r>
      <w:r w:rsidRPr="00A91CBA">
        <w:t>.</w:t>
      </w:r>
    </w:p>
    <w:p w14:paraId="71ED78E1" w14:textId="34C63792" w:rsidR="00F00DE8" w:rsidRDefault="00F00DE8" w:rsidP="00F00DE8">
      <w:pPr>
        <w:pStyle w:val="bParagraphtext"/>
      </w:pPr>
      <w:r w:rsidRPr="00676B7F">
        <w:rPr>
          <w:b/>
        </w:rPr>
        <w:t xml:space="preserve">Project and Programme Risk – </w:t>
      </w:r>
      <w:r w:rsidRPr="00676B7F">
        <w:t xml:space="preserve">The Council adopts the principles of Prince2 </w:t>
      </w:r>
      <w:r>
        <w:t xml:space="preserve">and agile </w:t>
      </w:r>
      <w:r w:rsidRPr="00676B7F">
        <w:t>methodolog</w:t>
      </w:r>
      <w:r>
        <w:t>ies in addition to recognised industry standards in construction</w:t>
      </w:r>
      <w:r w:rsidRPr="00676B7F">
        <w:t xml:space="preserve"> for managing projects. Incorporated within th</w:t>
      </w:r>
      <w:r>
        <w:t>e</w:t>
      </w:r>
      <w:r w:rsidRPr="00676B7F">
        <w:t>s</w:t>
      </w:r>
      <w:r>
        <w:t>e</w:t>
      </w:r>
      <w:r w:rsidRPr="00676B7F">
        <w:t xml:space="preserve"> methodolog</w:t>
      </w:r>
      <w:r>
        <w:t>ies</w:t>
      </w:r>
      <w:r w:rsidRPr="00676B7F">
        <w:t xml:space="preserve"> is a robust process for the management of risk within a project environment.  Each project is managed by the Project Manager who controls and co-ordinates all aspects of the project through to conclusion.</w:t>
      </w:r>
    </w:p>
    <w:p w14:paraId="3E43490C" w14:textId="77777777" w:rsidR="00E67E2E" w:rsidRPr="00F00DE8" w:rsidRDefault="00E67E2E" w:rsidP="00E67E2E">
      <w:pPr>
        <w:pStyle w:val="bParagraphtext"/>
        <w:numPr>
          <w:ilvl w:val="0"/>
          <w:numId w:val="0"/>
        </w:numPr>
        <w:ind w:left="426"/>
      </w:pPr>
    </w:p>
    <w:p w14:paraId="36562E32" w14:textId="77777777" w:rsidR="00F00DE8" w:rsidRDefault="00F00DE8" w:rsidP="00F00DE8">
      <w:pPr>
        <w:pStyle w:val="Heading1"/>
      </w:pPr>
      <w:r>
        <w:t xml:space="preserve">Corporate Risk Register </w:t>
      </w:r>
    </w:p>
    <w:p w14:paraId="23371007" w14:textId="19908C76" w:rsidR="00C677C2" w:rsidRPr="009C66E3" w:rsidRDefault="001E6F53" w:rsidP="00031663">
      <w:pPr>
        <w:pStyle w:val="bParagraphtext"/>
        <w:rPr>
          <w:b/>
        </w:rPr>
      </w:pPr>
      <w:r>
        <w:t>The last time that t</w:t>
      </w:r>
      <w:r w:rsidR="00F00DE8">
        <w:t>he Audit and Governance Committee receive</w:t>
      </w:r>
      <w:r w:rsidR="00C85A15">
        <w:t>d</w:t>
      </w:r>
      <w:r w:rsidR="00F00DE8">
        <w:t xml:space="preserve"> information on risk </w:t>
      </w:r>
      <w:r>
        <w:t>was 24 July 2024</w:t>
      </w:r>
      <w:r w:rsidR="00F00DE8">
        <w:t xml:space="preserve">. </w:t>
      </w:r>
      <w:r w:rsidR="00C30D89">
        <w:t>The C</w:t>
      </w:r>
      <w:r w:rsidR="006A5D45">
        <w:t>RR</w:t>
      </w:r>
      <w:r w:rsidR="00F00DE8" w:rsidRPr="001135F8">
        <w:t xml:space="preserve"> </w:t>
      </w:r>
      <w:r w:rsidR="00464107">
        <w:t>for 2024/25</w:t>
      </w:r>
      <w:r w:rsidR="00103544">
        <w:t xml:space="preserve"> </w:t>
      </w:r>
      <w:proofErr w:type="gramStart"/>
      <w:r w:rsidR="00FB3372">
        <w:t xml:space="preserve">is </w:t>
      </w:r>
      <w:r w:rsidR="00F00DE8">
        <w:t>attached</w:t>
      </w:r>
      <w:proofErr w:type="gramEnd"/>
      <w:r w:rsidR="00F00DE8">
        <w:t xml:space="preserve"> at </w:t>
      </w:r>
      <w:r w:rsidR="00F00DE8" w:rsidRPr="001135F8">
        <w:t>Append</w:t>
      </w:r>
      <w:r w:rsidR="002F1DF8">
        <w:t>ix</w:t>
      </w:r>
      <w:r w:rsidR="00F00DE8" w:rsidRPr="001135F8">
        <w:t xml:space="preserve"> </w:t>
      </w:r>
      <w:r w:rsidR="00F16A77">
        <w:t>1</w:t>
      </w:r>
      <w:r w:rsidR="00A84C0F">
        <w:t xml:space="preserve"> including controls and Appendix 2 showing risks only</w:t>
      </w:r>
      <w:r w:rsidR="00827FC2">
        <w:t xml:space="preserve">. </w:t>
      </w:r>
      <w:r w:rsidR="00425F63">
        <w:t xml:space="preserve"> </w:t>
      </w:r>
    </w:p>
    <w:p w14:paraId="331BB3D4" w14:textId="59694742" w:rsidR="00A84C0F" w:rsidRDefault="00A84C0F" w:rsidP="00A84C0F">
      <w:pPr>
        <w:pStyle w:val="bParagraphtext"/>
        <w:rPr>
          <w:bCs/>
        </w:rPr>
      </w:pPr>
      <w:r w:rsidRPr="009C66E3">
        <w:rPr>
          <w:bCs/>
        </w:rPr>
        <w:lastRenderedPageBreak/>
        <w:t xml:space="preserve">The table below shows the number of </w:t>
      </w:r>
      <w:r>
        <w:rPr>
          <w:bCs/>
        </w:rPr>
        <w:t>corporate</w:t>
      </w:r>
      <w:r w:rsidRPr="009C66E3">
        <w:rPr>
          <w:bCs/>
        </w:rPr>
        <w:t xml:space="preserve"> risks </w:t>
      </w:r>
      <w:r w:rsidR="006A5D45">
        <w:rPr>
          <w:bCs/>
        </w:rPr>
        <w:t>on</w:t>
      </w:r>
      <w:r w:rsidRPr="009C66E3">
        <w:rPr>
          <w:bCs/>
        </w:rPr>
        <w:t xml:space="preserve"> </w:t>
      </w:r>
      <w:r>
        <w:rPr>
          <w:bCs/>
        </w:rPr>
        <w:t>3</w:t>
      </w:r>
      <w:r w:rsidR="00C85A15">
        <w:rPr>
          <w:bCs/>
        </w:rPr>
        <w:t>1</w:t>
      </w:r>
      <w:r>
        <w:rPr>
          <w:bCs/>
        </w:rPr>
        <w:t xml:space="preserve"> </w:t>
      </w:r>
      <w:r w:rsidR="00C85A15">
        <w:rPr>
          <w:bCs/>
        </w:rPr>
        <w:t>December 2024</w:t>
      </w:r>
      <w:r w:rsidRPr="009C66E3">
        <w:rPr>
          <w:bCs/>
        </w:rPr>
        <w:t xml:space="preserve"> compared with the previous reported quarter</w:t>
      </w:r>
      <w:r>
        <w:rPr>
          <w:bCs/>
        </w:rPr>
        <w:t xml:space="preserve">.  </w:t>
      </w:r>
    </w:p>
    <w:tbl>
      <w:tblPr>
        <w:tblW w:w="4408" w:type="dxa"/>
        <w:tblInd w:w="602" w:type="dxa"/>
        <w:tblLook w:val="04A0" w:firstRow="1" w:lastRow="0" w:firstColumn="1" w:lastColumn="0" w:noHBand="0" w:noVBand="1"/>
      </w:tblPr>
      <w:tblGrid>
        <w:gridCol w:w="2240"/>
        <w:gridCol w:w="1084"/>
        <w:gridCol w:w="1084"/>
      </w:tblGrid>
      <w:tr w:rsidR="00A84C0F" w:rsidRPr="00A84C0F" w14:paraId="5A3324C0" w14:textId="77777777" w:rsidTr="009C66E3">
        <w:trPr>
          <w:trHeight w:val="312"/>
        </w:trPr>
        <w:tc>
          <w:tcPr>
            <w:tcW w:w="224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AC65C37" w14:textId="77777777" w:rsidR="00A84C0F" w:rsidRPr="00A84C0F" w:rsidRDefault="00A84C0F" w:rsidP="00A84C0F">
            <w:pPr>
              <w:spacing w:after="0"/>
              <w:jc w:val="center"/>
              <w:rPr>
                <w:rFonts w:cs="Arial"/>
                <w:b/>
                <w:bCs/>
              </w:rPr>
            </w:pPr>
            <w:r w:rsidRPr="00A84C0F">
              <w:rPr>
                <w:rFonts w:cs="Arial"/>
                <w:b/>
                <w:bCs/>
              </w:rPr>
              <w:t>Current Risk</w:t>
            </w:r>
          </w:p>
        </w:tc>
        <w:tc>
          <w:tcPr>
            <w:tcW w:w="1084" w:type="dxa"/>
            <w:tcBorders>
              <w:top w:val="single" w:sz="8" w:space="0" w:color="000000"/>
              <w:left w:val="nil"/>
              <w:bottom w:val="nil"/>
              <w:right w:val="single" w:sz="8" w:space="0" w:color="000000"/>
            </w:tcBorders>
            <w:shd w:val="clear" w:color="auto" w:fill="auto"/>
            <w:vAlign w:val="center"/>
            <w:hideMark/>
          </w:tcPr>
          <w:p w14:paraId="66CC7A3A" w14:textId="1C873223" w:rsidR="00A84C0F" w:rsidRPr="00A84C0F" w:rsidRDefault="00A84C0F" w:rsidP="00A84C0F">
            <w:pPr>
              <w:spacing w:after="0"/>
              <w:jc w:val="center"/>
              <w:rPr>
                <w:rFonts w:cs="Arial"/>
                <w:b/>
                <w:bCs/>
              </w:rPr>
            </w:pPr>
            <w:r w:rsidRPr="00A84C0F">
              <w:rPr>
                <w:rFonts w:cs="Arial"/>
                <w:b/>
                <w:bCs/>
              </w:rPr>
              <w:t>Q</w:t>
            </w:r>
            <w:r w:rsidR="00BC6812">
              <w:rPr>
                <w:rFonts w:cs="Arial"/>
                <w:b/>
                <w:bCs/>
              </w:rPr>
              <w:t>1</w:t>
            </w:r>
          </w:p>
        </w:tc>
        <w:tc>
          <w:tcPr>
            <w:tcW w:w="1084" w:type="dxa"/>
            <w:tcBorders>
              <w:top w:val="single" w:sz="8" w:space="0" w:color="000000"/>
              <w:left w:val="nil"/>
              <w:bottom w:val="nil"/>
              <w:right w:val="single" w:sz="8" w:space="0" w:color="000000"/>
            </w:tcBorders>
            <w:shd w:val="clear" w:color="auto" w:fill="auto"/>
            <w:vAlign w:val="center"/>
            <w:hideMark/>
          </w:tcPr>
          <w:p w14:paraId="4D79F184" w14:textId="099B3A8A" w:rsidR="00A84C0F" w:rsidRPr="00A84C0F" w:rsidRDefault="00A84C0F" w:rsidP="00A84C0F">
            <w:pPr>
              <w:spacing w:after="0"/>
              <w:jc w:val="center"/>
              <w:rPr>
                <w:rFonts w:cs="Arial"/>
                <w:b/>
                <w:bCs/>
              </w:rPr>
            </w:pPr>
            <w:r w:rsidRPr="00A84C0F">
              <w:rPr>
                <w:rFonts w:cs="Arial"/>
                <w:b/>
                <w:bCs/>
              </w:rPr>
              <w:t>Q</w:t>
            </w:r>
            <w:r w:rsidR="00BC6812">
              <w:rPr>
                <w:rFonts w:cs="Arial"/>
                <w:b/>
                <w:bCs/>
              </w:rPr>
              <w:t>3</w:t>
            </w:r>
          </w:p>
        </w:tc>
      </w:tr>
      <w:tr w:rsidR="00A84C0F" w:rsidRPr="00A84C0F" w14:paraId="2AA353DB" w14:textId="77777777" w:rsidTr="009C66E3">
        <w:trPr>
          <w:trHeight w:val="324"/>
        </w:trPr>
        <w:tc>
          <w:tcPr>
            <w:tcW w:w="2240" w:type="dxa"/>
            <w:vMerge/>
            <w:tcBorders>
              <w:top w:val="single" w:sz="8" w:space="0" w:color="000000"/>
              <w:left w:val="single" w:sz="8" w:space="0" w:color="000000"/>
              <w:bottom w:val="single" w:sz="8" w:space="0" w:color="000000"/>
              <w:right w:val="single" w:sz="8" w:space="0" w:color="000000"/>
            </w:tcBorders>
            <w:vAlign w:val="center"/>
            <w:hideMark/>
          </w:tcPr>
          <w:p w14:paraId="7715C4BF" w14:textId="77777777" w:rsidR="00A84C0F" w:rsidRPr="00A84C0F" w:rsidRDefault="00A84C0F" w:rsidP="00A84C0F">
            <w:pPr>
              <w:spacing w:after="0"/>
              <w:rPr>
                <w:rFonts w:cs="Arial"/>
                <w:b/>
                <w:bCs/>
              </w:rPr>
            </w:pPr>
          </w:p>
        </w:tc>
        <w:tc>
          <w:tcPr>
            <w:tcW w:w="1084" w:type="dxa"/>
            <w:tcBorders>
              <w:top w:val="nil"/>
              <w:left w:val="nil"/>
              <w:bottom w:val="single" w:sz="8" w:space="0" w:color="000000"/>
              <w:right w:val="single" w:sz="8" w:space="0" w:color="000000"/>
            </w:tcBorders>
            <w:shd w:val="clear" w:color="auto" w:fill="auto"/>
            <w:vAlign w:val="center"/>
            <w:hideMark/>
          </w:tcPr>
          <w:p w14:paraId="1929BBEA" w14:textId="57626210" w:rsidR="00A84C0F" w:rsidRPr="00A84C0F" w:rsidRDefault="00A84C0F" w:rsidP="00A84C0F">
            <w:pPr>
              <w:spacing w:after="0"/>
              <w:jc w:val="center"/>
              <w:rPr>
                <w:rFonts w:cs="Arial"/>
                <w:b/>
                <w:bCs/>
              </w:rPr>
            </w:pPr>
            <w:r w:rsidRPr="00A84C0F">
              <w:rPr>
                <w:rFonts w:cs="Arial"/>
                <w:b/>
                <w:bCs/>
              </w:rPr>
              <w:t>202</w:t>
            </w:r>
            <w:r w:rsidR="00BC6812">
              <w:rPr>
                <w:rFonts w:cs="Arial"/>
                <w:b/>
                <w:bCs/>
              </w:rPr>
              <w:t>4</w:t>
            </w:r>
            <w:r w:rsidRPr="00A84C0F">
              <w:rPr>
                <w:rFonts w:cs="Arial"/>
                <w:b/>
                <w:bCs/>
              </w:rPr>
              <w:t>/2</w:t>
            </w:r>
            <w:r w:rsidR="00BC6812">
              <w:rPr>
                <w:rFonts w:cs="Arial"/>
                <w:b/>
                <w:bCs/>
              </w:rPr>
              <w:t>5</w:t>
            </w:r>
          </w:p>
        </w:tc>
        <w:tc>
          <w:tcPr>
            <w:tcW w:w="1084" w:type="dxa"/>
            <w:tcBorders>
              <w:top w:val="nil"/>
              <w:left w:val="nil"/>
              <w:bottom w:val="single" w:sz="8" w:space="0" w:color="000000"/>
              <w:right w:val="single" w:sz="8" w:space="0" w:color="000000"/>
            </w:tcBorders>
            <w:shd w:val="clear" w:color="auto" w:fill="auto"/>
            <w:vAlign w:val="center"/>
            <w:hideMark/>
          </w:tcPr>
          <w:p w14:paraId="711AC277" w14:textId="77777777" w:rsidR="00A84C0F" w:rsidRPr="00A84C0F" w:rsidRDefault="00A84C0F" w:rsidP="00A84C0F">
            <w:pPr>
              <w:spacing w:after="0"/>
              <w:jc w:val="center"/>
              <w:rPr>
                <w:rFonts w:cs="Arial"/>
                <w:b/>
                <w:bCs/>
              </w:rPr>
            </w:pPr>
            <w:r w:rsidRPr="00A84C0F">
              <w:rPr>
                <w:rFonts w:cs="Arial"/>
                <w:b/>
                <w:bCs/>
              </w:rPr>
              <w:t>2024/25</w:t>
            </w:r>
          </w:p>
        </w:tc>
      </w:tr>
      <w:tr w:rsidR="00A84C0F" w:rsidRPr="00A84C0F" w14:paraId="3FA8147F" w14:textId="77777777" w:rsidTr="00BC6812">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56D4BF84" w14:textId="77777777" w:rsidR="00A84C0F" w:rsidRPr="00A84C0F" w:rsidRDefault="00A84C0F" w:rsidP="00A84C0F">
            <w:pPr>
              <w:spacing w:after="0"/>
              <w:rPr>
                <w:rFonts w:cs="Arial"/>
              </w:rPr>
            </w:pPr>
            <w:r w:rsidRPr="00A84C0F">
              <w:rPr>
                <w:rFonts w:cs="Arial"/>
              </w:rPr>
              <w:t>Red</w:t>
            </w:r>
          </w:p>
        </w:tc>
        <w:tc>
          <w:tcPr>
            <w:tcW w:w="1084" w:type="dxa"/>
            <w:tcBorders>
              <w:top w:val="nil"/>
              <w:left w:val="nil"/>
              <w:bottom w:val="single" w:sz="8" w:space="0" w:color="000000"/>
              <w:right w:val="single" w:sz="8" w:space="0" w:color="000000"/>
            </w:tcBorders>
            <w:shd w:val="clear" w:color="auto" w:fill="auto"/>
            <w:vAlign w:val="center"/>
            <w:hideMark/>
          </w:tcPr>
          <w:p w14:paraId="3AC40551" w14:textId="77777777" w:rsidR="00A84C0F" w:rsidRPr="00A84C0F" w:rsidRDefault="00A84C0F" w:rsidP="00A84C0F">
            <w:pPr>
              <w:spacing w:after="0"/>
              <w:jc w:val="right"/>
              <w:rPr>
                <w:rFonts w:cs="Arial"/>
              </w:rPr>
            </w:pPr>
            <w:r w:rsidRPr="00A84C0F">
              <w:rPr>
                <w:rFonts w:cs="Arial"/>
              </w:rPr>
              <w:t>5</w:t>
            </w:r>
          </w:p>
        </w:tc>
        <w:tc>
          <w:tcPr>
            <w:tcW w:w="1084" w:type="dxa"/>
            <w:tcBorders>
              <w:top w:val="nil"/>
              <w:left w:val="nil"/>
              <w:bottom w:val="single" w:sz="8" w:space="0" w:color="000000"/>
              <w:right w:val="single" w:sz="8" w:space="0" w:color="000000"/>
            </w:tcBorders>
            <w:shd w:val="clear" w:color="auto" w:fill="auto"/>
            <w:vAlign w:val="center"/>
          </w:tcPr>
          <w:p w14:paraId="0D0CD084" w14:textId="2D6714A9" w:rsidR="00A84C0F" w:rsidRPr="007C1CB4" w:rsidRDefault="008B4E07" w:rsidP="00A84C0F">
            <w:pPr>
              <w:spacing w:after="0"/>
              <w:jc w:val="right"/>
              <w:rPr>
                <w:rFonts w:cs="Arial"/>
                <w:color w:val="auto"/>
              </w:rPr>
            </w:pPr>
            <w:r>
              <w:rPr>
                <w:rFonts w:cs="Arial"/>
                <w:color w:val="auto"/>
              </w:rPr>
              <w:t>5</w:t>
            </w:r>
          </w:p>
        </w:tc>
      </w:tr>
      <w:tr w:rsidR="00A84C0F" w:rsidRPr="00A84C0F" w14:paraId="4BE4B127" w14:textId="77777777" w:rsidTr="00BC6812">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2E271CFC" w14:textId="77777777" w:rsidR="00A84C0F" w:rsidRPr="00A84C0F" w:rsidRDefault="00A84C0F" w:rsidP="00A84C0F">
            <w:pPr>
              <w:spacing w:after="0"/>
              <w:rPr>
                <w:rFonts w:cs="Arial"/>
              </w:rPr>
            </w:pPr>
            <w:r w:rsidRPr="00A84C0F">
              <w:rPr>
                <w:rFonts w:cs="Arial"/>
              </w:rPr>
              <w:t>Amber</w:t>
            </w:r>
          </w:p>
        </w:tc>
        <w:tc>
          <w:tcPr>
            <w:tcW w:w="1084" w:type="dxa"/>
            <w:tcBorders>
              <w:top w:val="nil"/>
              <w:left w:val="nil"/>
              <w:bottom w:val="single" w:sz="8" w:space="0" w:color="000000"/>
              <w:right w:val="single" w:sz="8" w:space="0" w:color="000000"/>
            </w:tcBorders>
            <w:shd w:val="clear" w:color="auto" w:fill="auto"/>
            <w:vAlign w:val="center"/>
            <w:hideMark/>
          </w:tcPr>
          <w:p w14:paraId="2D8FC903" w14:textId="77777777" w:rsidR="00A84C0F" w:rsidRPr="00A84C0F" w:rsidRDefault="00A84C0F" w:rsidP="00A84C0F">
            <w:pPr>
              <w:spacing w:after="0"/>
              <w:jc w:val="right"/>
              <w:rPr>
                <w:rFonts w:cs="Arial"/>
              </w:rPr>
            </w:pPr>
            <w:r w:rsidRPr="00A84C0F">
              <w:rPr>
                <w:rFonts w:cs="Arial"/>
              </w:rPr>
              <w:t>6</w:t>
            </w:r>
          </w:p>
        </w:tc>
        <w:tc>
          <w:tcPr>
            <w:tcW w:w="1084" w:type="dxa"/>
            <w:tcBorders>
              <w:top w:val="nil"/>
              <w:left w:val="nil"/>
              <w:bottom w:val="single" w:sz="8" w:space="0" w:color="000000"/>
              <w:right w:val="single" w:sz="8" w:space="0" w:color="000000"/>
            </w:tcBorders>
            <w:shd w:val="clear" w:color="auto" w:fill="auto"/>
            <w:vAlign w:val="center"/>
          </w:tcPr>
          <w:p w14:paraId="001F4D4A" w14:textId="66905CB4" w:rsidR="00A84C0F" w:rsidRPr="007C1CB4" w:rsidRDefault="008B4E07" w:rsidP="00A84C0F">
            <w:pPr>
              <w:spacing w:after="0"/>
              <w:jc w:val="right"/>
              <w:rPr>
                <w:rFonts w:cs="Arial"/>
                <w:color w:val="auto"/>
              </w:rPr>
            </w:pPr>
            <w:r>
              <w:rPr>
                <w:rFonts w:cs="Arial"/>
                <w:color w:val="auto"/>
              </w:rPr>
              <w:t>7</w:t>
            </w:r>
          </w:p>
        </w:tc>
      </w:tr>
      <w:tr w:rsidR="00A84C0F" w:rsidRPr="00A84C0F" w14:paraId="4454CD26" w14:textId="77777777" w:rsidTr="00BC6812">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1F6CF186" w14:textId="77777777" w:rsidR="00A84C0F" w:rsidRPr="00A84C0F" w:rsidRDefault="00A84C0F" w:rsidP="00A84C0F">
            <w:pPr>
              <w:spacing w:after="0"/>
              <w:rPr>
                <w:rFonts w:cs="Arial"/>
              </w:rPr>
            </w:pPr>
            <w:r w:rsidRPr="00A84C0F">
              <w:rPr>
                <w:rFonts w:cs="Arial"/>
              </w:rPr>
              <w:t>Green</w:t>
            </w:r>
          </w:p>
        </w:tc>
        <w:tc>
          <w:tcPr>
            <w:tcW w:w="1084" w:type="dxa"/>
            <w:tcBorders>
              <w:top w:val="nil"/>
              <w:left w:val="nil"/>
              <w:bottom w:val="single" w:sz="8" w:space="0" w:color="000000"/>
              <w:right w:val="single" w:sz="8" w:space="0" w:color="000000"/>
            </w:tcBorders>
            <w:shd w:val="clear" w:color="auto" w:fill="auto"/>
            <w:vAlign w:val="center"/>
            <w:hideMark/>
          </w:tcPr>
          <w:p w14:paraId="317A6711" w14:textId="77777777" w:rsidR="00A84C0F" w:rsidRPr="00A84C0F" w:rsidRDefault="00A84C0F" w:rsidP="00A84C0F">
            <w:pPr>
              <w:spacing w:after="0"/>
              <w:jc w:val="right"/>
              <w:rPr>
                <w:rFonts w:cs="Arial"/>
              </w:rPr>
            </w:pPr>
            <w:r w:rsidRPr="00A84C0F">
              <w:rPr>
                <w:rFonts w:cs="Arial"/>
              </w:rPr>
              <w:t>0</w:t>
            </w:r>
          </w:p>
        </w:tc>
        <w:tc>
          <w:tcPr>
            <w:tcW w:w="1084" w:type="dxa"/>
            <w:tcBorders>
              <w:top w:val="nil"/>
              <w:left w:val="nil"/>
              <w:bottom w:val="single" w:sz="8" w:space="0" w:color="000000"/>
              <w:right w:val="single" w:sz="8" w:space="0" w:color="000000"/>
            </w:tcBorders>
            <w:shd w:val="clear" w:color="auto" w:fill="auto"/>
            <w:vAlign w:val="center"/>
          </w:tcPr>
          <w:p w14:paraId="3FD0B24B" w14:textId="6E75FB7B" w:rsidR="00A84C0F" w:rsidRPr="00A84C0F" w:rsidRDefault="00283E92" w:rsidP="00A84C0F">
            <w:pPr>
              <w:spacing w:after="0"/>
              <w:jc w:val="right"/>
              <w:rPr>
                <w:rFonts w:cs="Arial"/>
              </w:rPr>
            </w:pPr>
            <w:r>
              <w:rPr>
                <w:rFonts w:cs="Arial"/>
              </w:rPr>
              <w:t>0</w:t>
            </w:r>
          </w:p>
        </w:tc>
      </w:tr>
      <w:tr w:rsidR="00A84C0F" w:rsidRPr="00A84C0F" w14:paraId="6C1D3E11" w14:textId="77777777" w:rsidTr="009C66E3">
        <w:trPr>
          <w:trHeight w:val="324"/>
        </w:trPr>
        <w:tc>
          <w:tcPr>
            <w:tcW w:w="2240" w:type="dxa"/>
            <w:tcBorders>
              <w:top w:val="nil"/>
              <w:left w:val="single" w:sz="8" w:space="0" w:color="000000"/>
              <w:bottom w:val="single" w:sz="8" w:space="0" w:color="000000"/>
              <w:right w:val="single" w:sz="8" w:space="0" w:color="000000"/>
            </w:tcBorders>
            <w:shd w:val="clear" w:color="000000" w:fill="D9D9D9"/>
            <w:noWrap/>
            <w:vAlign w:val="center"/>
            <w:hideMark/>
          </w:tcPr>
          <w:p w14:paraId="044F05D9" w14:textId="77777777" w:rsidR="00A84C0F" w:rsidRPr="00A84C0F" w:rsidRDefault="00A84C0F" w:rsidP="00A84C0F">
            <w:pPr>
              <w:spacing w:after="0"/>
              <w:rPr>
                <w:rFonts w:cs="Arial"/>
                <w:b/>
                <w:bCs/>
              </w:rPr>
            </w:pPr>
            <w:r w:rsidRPr="00A84C0F">
              <w:rPr>
                <w:rFonts w:cs="Arial"/>
                <w:b/>
                <w:bCs/>
              </w:rPr>
              <w:t>Total risks</w:t>
            </w:r>
          </w:p>
        </w:tc>
        <w:tc>
          <w:tcPr>
            <w:tcW w:w="1084" w:type="dxa"/>
            <w:tcBorders>
              <w:top w:val="nil"/>
              <w:left w:val="nil"/>
              <w:bottom w:val="single" w:sz="8" w:space="0" w:color="000000"/>
              <w:right w:val="single" w:sz="8" w:space="0" w:color="000000"/>
            </w:tcBorders>
            <w:shd w:val="clear" w:color="000000" w:fill="D9D9D9"/>
            <w:vAlign w:val="center"/>
            <w:hideMark/>
          </w:tcPr>
          <w:p w14:paraId="669FFD8B" w14:textId="77777777" w:rsidR="00A84C0F" w:rsidRPr="00A84C0F" w:rsidRDefault="00A84C0F" w:rsidP="00A84C0F">
            <w:pPr>
              <w:spacing w:after="0"/>
              <w:jc w:val="right"/>
              <w:rPr>
                <w:rFonts w:cs="Arial"/>
                <w:b/>
                <w:bCs/>
              </w:rPr>
            </w:pPr>
            <w:r w:rsidRPr="00A84C0F">
              <w:rPr>
                <w:rFonts w:cs="Arial"/>
                <w:b/>
                <w:bCs/>
              </w:rPr>
              <w:t>11</w:t>
            </w:r>
          </w:p>
        </w:tc>
        <w:tc>
          <w:tcPr>
            <w:tcW w:w="1084" w:type="dxa"/>
            <w:tcBorders>
              <w:top w:val="nil"/>
              <w:left w:val="nil"/>
              <w:bottom w:val="single" w:sz="8" w:space="0" w:color="000000"/>
              <w:right w:val="single" w:sz="8" w:space="0" w:color="000000"/>
            </w:tcBorders>
            <w:shd w:val="clear" w:color="000000" w:fill="D9D9D9"/>
            <w:vAlign w:val="center"/>
            <w:hideMark/>
          </w:tcPr>
          <w:p w14:paraId="22CEA1AD" w14:textId="32F68D92" w:rsidR="00A84C0F" w:rsidRPr="00A84C0F" w:rsidRDefault="00A84C0F" w:rsidP="00A84C0F">
            <w:pPr>
              <w:spacing w:after="0"/>
              <w:jc w:val="right"/>
              <w:rPr>
                <w:rFonts w:cs="Arial"/>
                <w:b/>
                <w:bCs/>
              </w:rPr>
            </w:pPr>
            <w:r w:rsidRPr="00A84C0F">
              <w:rPr>
                <w:rFonts w:cs="Arial"/>
                <w:b/>
                <w:bCs/>
              </w:rPr>
              <w:t>1</w:t>
            </w:r>
            <w:r w:rsidR="00C85A15">
              <w:rPr>
                <w:rFonts w:cs="Arial"/>
                <w:b/>
                <w:bCs/>
              </w:rPr>
              <w:t>2</w:t>
            </w:r>
          </w:p>
        </w:tc>
      </w:tr>
      <w:tr w:rsidR="00A84C0F" w:rsidRPr="00A84C0F" w14:paraId="759BB2C0" w14:textId="77777777" w:rsidTr="009C66E3">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38E2F24F" w14:textId="7FF4F134" w:rsidR="00A84C0F" w:rsidRPr="00A84C0F" w:rsidRDefault="00A84C0F" w:rsidP="00A84C0F">
            <w:pPr>
              <w:spacing w:after="0"/>
              <w:rPr>
                <w:rFonts w:cs="Arial"/>
              </w:rPr>
            </w:pPr>
            <w:r w:rsidRPr="00A84C0F">
              <w:rPr>
                <w:rFonts w:cs="Arial"/>
              </w:rPr>
              <w:t xml:space="preserve">New risks in </w:t>
            </w:r>
            <w:r w:rsidR="00283E92">
              <w:rPr>
                <w:rFonts w:cs="Arial"/>
              </w:rPr>
              <w:t>half year</w:t>
            </w:r>
          </w:p>
        </w:tc>
        <w:tc>
          <w:tcPr>
            <w:tcW w:w="1084" w:type="dxa"/>
            <w:tcBorders>
              <w:top w:val="nil"/>
              <w:left w:val="nil"/>
              <w:bottom w:val="single" w:sz="8" w:space="0" w:color="000000"/>
              <w:right w:val="single" w:sz="8" w:space="0" w:color="000000"/>
            </w:tcBorders>
            <w:shd w:val="clear" w:color="auto" w:fill="auto"/>
            <w:vAlign w:val="center"/>
            <w:hideMark/>
          </w:tcPr>
          <w:p w14:paraId="75769C55" w14:textId="77777777" w:rsidR="00A84C0F" w:rsidRPr="00A84C0F" w:rsidRDefault="00A84C0F" w:rsidP="00A84C0F">
            <w:pPr>
              <w:spacing w:after="0"/>
              <w:jc w:val="right"/>
              <w:rPr>
                <w:rFonts w:cs="Arial"/>
              </w:rPr>
            </w:pPr>
            <w:r w:rsidRPr="00A84C0F">
              <w:rPr>
                <w:rFonts w:cs="Arial"/>
              </w:rPr>
              <w:t>0</w:t>
            </w:r>
          </w:p>
        </w:tc>
        <w:tc>
          <w:tcPr>
            <w:tcW w:w="1084" w:type="dxa"/>
            <w:tcBorders>
              <w:top w:val="nil"/>
              <w:left w:val="nil"/>
              <w:bottom w:val="single" w:sz="8" w:space="0" w:color="000000"/>
              <w:right w:val="single" w:sz="8" w:space="0" w:color="000000"/>
            </w:tcBorders>
            <w:shd w:val="clear" w:color="auto" w:fill="auto"/>
            <w:vAlign w:val="center"/>
            <w:hideMark/>
          </w:tcPr>
          <w:p w14:paraId="62586EB3" w14:textId="72D660B3" w:rsidR="00A84C0F" w:rsidRPr="00A84C0F" w:rsidRDefault="00283E92" w:rsidP="00A84C0F">
            <w:pPr>
              <w:spacing w:after="0"/>
              <w:jc w:val="right"/>
              <w:rPr>
                <w:rFonts w:cs="Arial"/>
              </w:rPr>
            </w:pPr>
            <w:r w:rsidRPr="007C1CB4">
              <w:rPr>
                <w:rFonts w:cs="Arial"/>
                <w:color w:val="auto"/>
              </w:rPr>
              <w:t>1</w:t>
            </w:r>
          </w:p>
        </w:tc>
      </w:tr>
      <w:tr w:rsidR="00A84C0F" w:rsidRPr="00A84C0F" w14:paraId="376DA5D2" w14:textId="77777777" w:rsidTr="009C66E3">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712554E7" w14:textId="77777777" w:rsidR="00A84C0F" w:rsidRPr="00A84C0F" w:rsidRDefault="00A84C0F" w:rsidP="00A84C0F">
            <w:pPr>
              <w:spacing w:after="0"/>
              <w:rPr>
                <w:rFonts w:cs="Arial"/>
              </w:rPr>
            </w:pPr>
            <w:r w:rsidRPr="00A84C0F">
              <w:rPr>
                <w:rFonts w:cs="Arial"/>
              </w:rPr>
              <w:t>Closed</w:t>
            </w:r>
          </w:p>
        </w:tc>
        <w:tc>
          <w:tcPr>
            <w:tcW w:w="1084" w:type="dxa"/>
            <w:tcBorders>
              <w:top w:val="nil"/>
              <w:left w:val="nil"/>
              <w:bottom w:val="single" w:sz="8" w:space="0" w:color="000000"/>
              <w:right w:val="single" w:sz="8" w:space="0" w:color="000000"/>
            </w:tcBorders>
            <w:shd w:val="clear" w:color="auto" w:fill="auto"/>
            <w:vAlign w:val="center"/>
            <w:hideMark/>
          </w:tcPr>
          <w:p w14:paraId="40370426" w14:textId="77777777" w:rsidR="00A84C0F" w:rsidRPr="00A84C0F" w:rsidRDefault="00A84C0F" w:rsidP="00A84C0F">
            <w:pPr>
              <w:spacing w:after="0"/>
              <w:jc w:val="right"/>
              <w:rPr>
                <w:rFonts w:cs="Arial"/>
              </w:rPr>
            </w:pPr>
            <w:r w:rsidRPr="00A84C0F">
              <w:rPr>
                <w:rFonts w:cs="Arial"/>
              </w:rPr>
              <w:t>0</w:t>
            </w:r>
          </w:p>
        </w:tc>
        <w:tc>
          <w:tcPr>
            <w:tcW w:w="1084" w:type="dxa"/>
            <w:tcBorders>
              <w:top w:val="nil"/>
              <w:left w:val="nil"/>
              <w:bottom w:val="single" w:sz="8" w:space="0" w:color="000000"/>
              <w:right w:val="single" w:sz="8" w:space="0" w:color="000000"/>
            </w:tcBorders>
            <w:shd w:val="clear" w:color="auto" w:fill="auto"/>
            <w:vAlign w:val="center"/>
            <w:hideMark/>
          </w:tcPr>
          <w:p w14:paraId="19A704BE" w14:textId="77777777" w:rsidR="00A84C0F" w:rsidRPr="00A84C0F" w:rsidRDefault="00A84C0F" w:rsidP="00A84C0F">
            <w:pPr>
              <w:spacing w:after="0"/>
              <w:jc w:val="right"/>
              <w:rPr>
                <w:rFonts w:cs="Arial"/>
              </w:rPr>
            </w:pPr>
            <w:r w:rsidRPr="00A84C0F">
              <w:rPr>
                <w:rFonts w:cs="Arial"/>
              </w:rPr>
              <w:t>0</w:t>
            </w:r>
          </w:p>
        </w:tc>
      </w:tr>
    </w:tbl>
    <w:p w14:paraId="040BED8A" w14:textId="77777777" w:rsidR="00A84C0F" w:rsidRDefault="00A84C0F" w:rsidP="00A84C0F">
      <w:pPr>
        <w:pStyle w:val="bParagraphtext"/>
        <w:numPr>
          <w:ilvl w:val="0"/>
          <w:numId w:val="0"/>
        </w:numPr>
        <w:ind w:left="643"/>
        <w:rPr>
          <w:bCs/>
        </w:rPr>
      </w:pPr>
    </w:p>
    <w:p w14:paraId="7CB83187" w14:textId="4E780A98" w:rsidR="008A4344" w:rsidRPr="008A4344" w:rsidRDefault="008A4344" w:rsidP="008A4344">
      <w:pPr>
        <w:pStyle w:val="bParagraphtext"/>
        <w:rPr>
          <w:bCs/>
        </w:rPr>
      </w:pPr>
      <w:r w:rsidRPr="008A4344">
        <w:rPr>
          <w:bCs/>
        </w:rPr>
        <w:t>Details of the red risks are as follows:</w:t>
      </w:r>
    </w:p>
    <w:p w14:paraId="601C8A3D" w14:textId="44137443" w:rsidR="000A4C26" w:rsidRDefault="004D2588" w:rsidP="004D2588">
      <w:pPr>
        <w:pStyle w:val="Bulletpoints"/>
        <w:rPr>
          <w:bCs/>
        </w:rPr>
      </w:pPr>
      <w:r>
        <w:rPr>
          <w:b/>
          <w:bCs/>
          <w:color w:val="auto"/>
        </w:rPr>
        <w:tab/>
      </w:r>
    </w:p>
    <w:p w14:paraId="2779291C" w14:textId="35A02A2A" w:rsidR="00BD1775" w:rsidRPr="00BD1775" w:rsidRDefault="00BD1775" w:rsidP="004D2588">
      <w:pPr>
        <w:pStyle w:val="bParagraphtext"/>
        <w:numPr>
          <w:ilvl w:val="0"/>
          <w:numId w:val="0"/>
        </w:numPr>
        <w:tabs>
          <w:tab w:val="clear" w:pos="426"/>
        </w:tabs>
        <w:ind w:firstLine="720"/>
        <w:rPr>
          <w:b/>
          <w:bCs/>
        </w:rPr>
      </w:pPr>
      <w:r w:rsidRPr="00BD1775">
        <w:rPr>
          <w:b/>
          <w:bCs/>
        </w:rPr>
        <w:t>New Red Risk</w:t>
      </w:r>
    </w:p>
    <w:p w14:paraId="350AD2EB" w14:textId="77777777" w:rsidR="00BD1775" w:rsidRDefault="00BD1775" w:rsidP="004D2588">
      <w:pPr>
        <w:pStyle w:val="Bulletpoints"/>
        <w:numPr>
          <w:ilvl w:val="0"/>
          <w:numId w:val="44"/>
        </w:numPr>
        <w:rPr>
          <w:b/>
        </w:rPr>
      </w:pPr>
      <w:r w:rsidRPr="00EC772D">
        <w:rPr>
          <w:b/>
        </w:rPr>
        <w:t>CRR-</w:t>
      </w:r>
      <w:r w:rsidRPr="001D68A5">
        <w:rPr>
          <w:b/>
        </w:rPr>
        <w:t xml:space="preserve">012 – Increased costs and complexity for waste </w:t>
      </w:r>
    </w:p>
    <w:p w14:paraId="7953943B" w14:textId="3E06EC09" w:rsidR="0063756A" w:rsidRDefault="00BD1775" w:rsidP="00BD1775">
      <w:pPr>
        <w:pStyle w:val="Bulletpoints"/>
        <w:ind w:left="720"/>
        <w:rPr>
          <w:rFonts w:cs="Arial"/>
          <w:shd w:val="clear" w:color="auto" w:fill="FFFFFF"/>
        </w:rPr>
      </w:pPr>
      <w:r w:rsidRPr="00EC772D">
        <w:t>This is a new red risk</w:t>
      </w:r>
      <w:r w:rsidR="00C85A15">
        <w:t>.</w:t>
      </w:r>
      <w:r w:rsidRPr="00EC772D">
        <w:t xml:space="preserve">  Changes in statutory waste and recycling obligations may result in increased costs and </w:t>
      </w:r>
      <w:r w:rsidRPr="001D68A5">
        <w:rPr>
          <w:rFonts w:cs="Arial"/>
          <w:shd w:val="clear" w:color="auto" w:fill="FFFFFF"/>
        </w:rPr>
        <w:t xml:space="preserve">complexity in the delivery of the </w:t>
      </w:r>
      <w:r w:rsidR="00C845CB" w:rsidRPr="001D68A5">
        <w:rPr>
          <w:rFonts w:cs="Arial"/>
          <w:shd w:val="clear" w:color="auto" w:fill="FFFFFF"/>
        </w:rPr>
        <w:t>Council’s domestic</w:t>
      </w:r>
      <w:r w:rsidRPr="001D68A5">
        <w:rPr>
          <w:rFonts w:cs="Arial"/>
          <w:shd w:val="clear" w:color="auto" w:fill="FFFFFF"/>
        </w:rPr>
        <w:t xml:space="preserve"> </w:t>
      </w:r>
      <w:r w:rsidR="00C85A15">
        <w:rPr>
          <w:rFonts w:cs="Arial"/>
          <w:shd w:val="clear" w:color="auto" w:fill="FFFFFF"/>
        </w:rPr>
        <w:t xml:space="preserve">waste </w:t>
      </w:r>
      <w:r w:rsidRPr="001D68A5">
        <w:rPr>
          <w:rFonts w:cs="Arial"/>
          <w:shd w:val="clear" w:color="auto" w:fill="FFFFFF"/>
        </w:rPr>
        <w:t xml:space="preserve">collection service, and </w:t>
      </w:r>
      <w:r w:rsidR="00C85A15">
        <w:rPr>
          <w:rFonts w:cs="Arial"/>
          <w:shd w:val="clear" w:color="auto" w:fill="FFFFFF"/>
        </w:rPr>
        <w:t xml:space="preserve">the </w:t>
      </w:r>
      <w:r w:rsidRPr="001D68A5">
        <w:rPr>
          <w:rFonts w:cs="Arial"/>
          <w:shd w:val="clear" w:color="auto" w:fill="FFFFFF"/>
        </w:rPr>
        <w:t xml:space="preserve">ODS commercial operation. If higher costs </w:t>
      </w:r>
      <w:proofErr w:type="gramStart"/>
      <w:r w:rsidRPr="001D68A5">
        <w:rPr>
          <w:rFonts w:cs="Arial"/>
          <w:shd w:val="clear" w:color="auto" w:fill="FFFFFF"/>
        </w:rPr>
        <w:t>are not matched</w:t>
      </w:r>
      <w:proofErr w:type="gramEnd"/>
      <w:r w:rsidRPr="001D68A5">
        <w:rPr>
          <w:rFonts w:cs="Arial"/>
          <w:shd w:val="clear" w:color="auto" w:fill="FFFFFF"/>
        </w:rPr>
        <w:t xml:space="preserve"> </w:t>
      </w:r>
      <w:r w:rsidR="00C845CB">
        <w:rPr>
          <w:rFonts w:cs="Arial"/>
          <w:shd w:val="clear" w:color="auto" w:fill="FFFFFF"/>
        </w:rPr>
        <w:t>by</w:t>
      </w:r>
      <w:r w:rsidRPr="001D68A5">
        <w:rPr>
          <w:rFonts w:cs="Arial"/>
          <w:shd w:val="clear" w:color="auto" w:fill="FFFFFF"/>
        </w:rPr>
        <w:t xml:space="preserve"> increased </w:t>
      </w:r>
      <w:r w:rsidR="00C845CB" w:rsidRPr="001D68A5">
        <w:rPr>
          <w:rFonts w:cs="Arial"/>
          <w:shd w:val="clear" w:color="auto" w:fill="FFFFFF"/>
        </w:rPr>
        <w:t>revenues this</w:t>
      </w:r>
      <w:r w:rsidRPr="001D68A5">
        <w:rPr>
          <w:rFonts w:cs="Arial"/>
          <w:shd w:val="clear" w:color="auto" w:fill="FFFFFF"/>
        </w:rPr>
        <w:t xml:space="preserve"> may impact on the funding of other service areas because domestic waste collections are a statutory </w:t>
      </w:r>
      <w:r w:rsidR="0063756A">
        <w:rPr>
          <w:rFonts w:cs="Arial"/>
          <w:shd w:val="clear" w:color="auto" w:fill="FFFFFF"/>
        </w:rPr>
        <w:t>obligation</w:t>
      </w:r>
      <w:r w:rsidRPr="001D68A5">
        <w:rPr>
          <w:rFonts w:cs="Arial"/>
          <w:shd w:val="clear" w:color="auto" w:fill="FFFFFF"/>
        </w:rPr>
        <w:t xml:space="preserve">.  </w:t>
      </w:r>
      <w:r w:rsidR="0063756A" w:rsidRPr="001D68A5">
        <w:rPr>
          <w:rFonts w:cs="Arial"/>
          <w:shd w:val="clear" w:color="auto" w:fill="FFFFFF"/>
        </w:rPr>
        <w:t>Also,</w:t>
      </w:r>
      <w:r w:rsidRPr="001D68A5">
        <w:rPr>
          <w:rFonts w:cs="Arial"/>
          <w:shd w:val="clear" w:color="auto" w:fill="FFFFFF"/>
        </w:rPr>
        <w:t xml:space="preserve"> if the income ODS derives from</w:t>
      </w:r>
      <w:r w:rsidR="00C845CB">
        <w:rPr>
          <w:rFonts w:cs="Arial"/>
          <w:shd w:val="clear" w:color="auto" w:fill="FFFFFF"/>
        </w:rPr>
        <w:t xml:space="preserve"> its</w:t>
      </w:r>
      <w:r w:rsidRPr="001D68A5">
        <w:rPr>
          <w:rFonts w:cs="Arial"/>
          <w:shd w:val="clear" w:color="auto" w:fill="FFFFFF"/>
        </w:rPr>
        <w:t xml:space="preserve"> commercial waste operation reduces, this could impact on dividend payments to the Council which underpin</w:t>
      </w:r>
      <w:r w:rsidR="0063756A">
        <w:rPr>
          <w:rFonts w:cs="Arial"/>
          <w:shd w:val="clear" w:color="auto" w:fill="FFFFFF"/>
        </w:rPr>
        <w:t xml:space="preserve"> </w:t>
      </w:r>
      <w:r w:rsidR="009E36E1">
        <w:rPr>
          <w:rFonts w:cs="Arial"/>
          <w:shd w:val="clear" w:color="auto" w:fill="FFFFFF"/>
        </w:rPr>
        <w:t xml:space="preserve">the </w:t>
      </w:r>
      <w:r w:rsidR="009E36E1" w:rsidRPr="001D68A5">
        <w:rPr>
          <w:rFonts w:cs="Arial"/>
          <w:shd w:val="clear" w:color="auto" w:fill="FFFFFF"/>
        </w:rPr>
        <w:t>delivery</w:t>
      </w:r>
      <w:r w:rsidR="0063756A">
        <w:rPr>
          <w:rFonts w:cs="Arial"/>
          <w:shd w:val="clear" w:color="auto" w:fill="FFFFFF"/>
        </w:rPr>
        <w:t xml:space="preserve"> of other services</w:t>
      </w:r>
      <w:r w:rsidRPr="001D68A5">
        <w:rPr>
          <w:rFonts w:cs="Arial"/>
          <w:shd w:val="clear" w:color="auto" w:fill="FFFFFF"/>
        </w:rPr>
        <w:t xml:space="preserve">.  </w:t>
      </w:r>
    </w:p>
    <w:p w14:paraId="2AE5B8A4" w14:textId="3AEA31D9" w:rsidR="009E36E1" w:rsidRDefault="00BD1775" w:rsidP="009E36E1">
      <w:pPr>
        <w:pStyle w:val="Bulletpoints"/>
        <w:ind w:left="720"/>
        <w:rPr>
          <w:rFonts w:cs="Arial"/>
          <w:shd w:val="clear" w:color="auto" w:fill="FFFFFF"/>
        </w:rPr>
      </w:pPr>
      <w:r w:rsidRPr="001D68A5">
        <w:rPr>
          <w:rFonts w:cs="Arial"/>
          <w:shd w:val="clear" w:color="auto" w:fill="FFFFFF"/>
        </w:rPr>
        <w:t>The Council is lobbying for new funding.</w:t>
      </w:r>
    </w:p>
    <w:p w14:paraId="5D650FF3" w14:textId="77777777" w:rsidR="000A4C26" w:rsidRDefault="000A4C26" w:rsidP="000A4C26">
      <w:pPr>
        <w:pStyle w:val="Bulletpoints"/>
        <w:rPr>
          <w:rFonts w:cs="Arial"/>
          <w:shd w:val="clear" w:color="auto" w:fill="FFFFFF"/>
        </w:rPr>
      </w:pPr>
    </w:p>
    <w:p w14:paraId="65DC64A8" w14:textId="6908E202" w:rsidR="000A4C26" w:rsidRPr="00363E6D" w:rsidRDefault="000A4C26" w:rsidP="008A4344">
      <w:pPr>
        <w:pStyle w:val="Bulletpoints"/>
        <w:ind w:left="720"/>
        <w:rPr>
          <w:rFonts w:cs="Arial"/>
          <w:b/>
          <w:bCs/>
          <w:shd w:val="clear" w:color="auto" w:fill="FFFFFF"/>
        </w:rPr>
      </w:pPr>
      <w:r w:rsidRPr="00363E6D">
        <w:rPr>
          <w:rFonts w:cs="Arial"/>
          <w:b/>
          <w:bCs/>
          <w:shd w:val="clear" w:color="auto" w:fill="FFFFFF"/>
        </w:rPr>
        <w:t>Risk that has gone from Amber to Red</w:t>
      </w:r>
    </w:p>
    <w:p w14:paraId="63A313DD" w14:textId="2F267644" w:rsidR="000A4C26" w:rsidRDefault="000A4C26" w:rsidP="004D2588">
      <w:pPr>
        <w:pStyle w:val="Bulletpoints"/>
        <w:numPr>
          <w:ilvl w:val="0"/>
          <w:numId w:val="44"/>
        </w:numPr>
        <w:rPr>
          <w:rFonts w:cs="Arial"/>
          <w:b/>
          <w:bCs/>
          <w:shd w:val="clear" w:color="auto" w:fill="FFFFFF"/>
        </w:rPr>
      </w:pPr>
      <w:r>
        <w:rPr>
          <w:rFonts w:cs="Arial"/>
          <w:b/>
          <w:bCs/>
          <w:shd w:val="clear" w:color="auto" w:fill="FFFFFF"/>
        </w:rPr>
        <w:t>CRR – 006 – Health and safety and compliance with legislative requirements</w:t>
      </w:r>
    </w:p>
    <w:p w14:paraId="4ABE39FA" w14:textId="2536D260" w:rsidR="00363E6D" w:rsidRDefault="00363E6D" w:rsidP="009E36E1">
      <w:pPr>
        <w:pStyle w:val="Bulletpoints"/>
        <w:ind w:left="720"/>
        <w:rPr>
          <w:rFonts w:cs="Arial"/>
          <w:shd w:val="clear" w:color="auto" w:fill="FFFFFF"/>
        </w:rPr>
      </w:pPr>
      <w:r>
        <w:rPr>
          <w:rFonts w:cs="Arial"/>
          <w:shd w:val="clear" w:color="auto" w:fill="FFFFFF"/>
        </w:rPr>
        <w:t>There is a risk that if there are insufficient resources there will be a failure to comply with legislative requirements including health and safety, data protection and local government law resulting in reputational damage, regulatory action, fines, and costs</w:t>
      </w:r>
      <w:r w:rsidR="0042065D">
        <w:rPr>
          <w:rFonts w:cs="Arial"/>
          <w:shd w:val="clear" w:color="auto" w:fill="FFFFFF"/>
        </w:rPr>
        <w:t>.  Mitigations include ensuring that systems are in place to monitor and control compliance, staff training, clarity about roles and responsibilities, internal and external audit, oversight of companies and ensuring that the culture allows for challenge.</w:t>
      </w:r>
    </w:p>
    <w:p w14:paraId="0472FBB2" w14:textId="77777777" w:rsidR="00BD1775" w:rsidRDefault="00BD1775" w:rsidP="00BD1775">
      <w:pPr>
        <w:pStyle w:val="bParagraphtext"/>
        <w:numPr>
          <w:ilvl w:val="0"/>
          <w:numId w:val="0"/>
        </w:numPr>
        <w:tabs>
          <w:tab w:val="clear" w:pos="426"/>
        </w:tabs>
        <w:ind w:left="720"/>
      </w:pPr>
    </w:p>
    <w:p w14:paraId="654F3A41" w14:textId="6CD3FCB8" w:rsidR="002A68B2" w:rsidRDefault="002A68B2" w:rsidP="008A4344">
      <w:pPr>
        <w:pStyle w:val="bParagraphtext"/>
        <w:numPr>
          <w:ilvl w:val="0"/>
          <w:numId w:val="0"/>
        </w:numPr>
        <w:tabs>
          <w:tab w:val="clear" w:pos="426"/>
        </w:tabs>
        <w:ind w:left="720"/>
        <w:rPr>
          <w:b/>
          <w:bCs/>
        </w:rPr>
      </w:pPr>
      <w:r w:rsidRPr="00C845CB">
        <w:rPr>
          <w:b/>
          <w:bCs/>
        </w:rPr>
        <w:t>R</w:t>
      </w:r>
      <w:r w:rsidR="00BD1775" w:rsidRPr="00C845CB">
        <w:rPr>
          <w:b/>
          <w:bCs/>
        </w:rPr>
        <w:t>isks continuing to be red</w:t>
      </w:r>
      <w:r w:rsidRPr="00C845CB">
        <w:rPr>
          <w:b/>
          <w:bCs/>
        </w:rPr>
        <w:t>:</w:t>
      </w:r>
    </w:p>
    <w:p w14:paraId="41564A56" w14:textId="77777777" w:rsidR="00C845CB" w:rsidRPr="004D2588" w:rsidRDefault="00BC6812" w:rsidP="004D2588">
      <w:pPr>
        <w:pStyle w:val="Bulletpoints"/>
        <w:numPr>
          <w:ilvl w:val="0"/>
          <w:numId w:val="44"/>
        </w:numPr>
        <w:rPr>
          <w:rFonts w:cs="Arial"/>
          <w:b/>
          <w:bCs/>
          <w:shd w:val="clear" w:color="auto" w:fill="FFFFFF"/>
        </w:rPr>
      </w:pPr>
      <w:r w:rsidRPr="004D2588">
        <w:rPr>
          <w:rFonts w:cs="Arial"/>
          <w:b/>
          <w:bCs/>
          <w:shd w:val="clear" w:color="auto" w:fill="FFFFFF"/>
        </w:rPr>
        <w:t xml:space="preserve">CRR-001 - </w:t>
      </w:r>
      <w:r w:rsidR="001016AA" w:rsidRPr="004D2588">
        <w:rPr>
          <w:rFonts w:cs="Arial"/>
          <w:b/>
          <w:bCs/>
          <w:shd w:val="clear" w:color="auto" w:fill="FFFFFF"/>
        </w:rPr>
        <w:t>Financial Stability</w:t>
      </w:r>
    </w:p>
    <w:p w14:paraId="1D394801" w14:textId="50B39F5B" w:rsidR="00896FB7" w:rsidRPr="004D2588" w:rsidRDefault="00C845CB" w:rsidP="004D2588">
      <w:pPr>
        <w:pStyle w:val="Bulletpoints"/>
        <w:ind w:left="720"/>
        <w:rPr>
          <w:rFonts w:cs="Arial"/>
          <w:shd w:val="clear" w:color="auto" w:fill="FFFFFF"/>
        </w:rPr>
      </w:pPr>
      <w:r w:rsidRPr="004D2588">
        <w:rPr>
          <w:rFonts w:cs="Arial"/>
          <w:shd w:val="clear" w:color="auto" w:fill="FFFFFF"/>
        </w:rPr>
        <w:t>T</w:t>
      </w:r>
      <w:r w:rsidR="006C75BC" w:rsidRPr="004D2588">
        <w:rPr>
          <w:rFonts w:cs="Arial"/>
          <w:shd w:val="clear" w:color="auto" w:fill="FFFFFF"/>
        </w:rPr>
        <w:t xml:space="preserve">his is the risk of </w:t>
      </w:r>
      <w:r w:rsidR="002A68B2" w:rsidRPr="004D2588">
        <w:rPr>
          <w:rFonts w:cs="Arial"/>
          <w:shd w:val="clear" w:color="auto" w:fill="FFFFFF"/>
        </w:rPr>
        <w:t xml:space="preserve">the Council </w:t>
      </w:r>
      <w:r w:rsidR="006C75BC" w:rsidRPr="004D2588">
        <w:rPr>
          <w:rFonts w:cs="Arial"/>
          <w:shd w:val="clear" w:color="auto" w:fill="FFFFFF"/>
        </w:rPr>
        <w:t xml:space="preserve">being unable to deliver its plans and corporate priorities due to </w:t>
      </w:r>
      <w:r w:rsidR="001E6F53" w:rsidRPr="004D2588">
        <w:rPr>
          <w:rFonts w:cs="Arial"/>
          <w:shd w:val="clear" w:color="auto" w:fill="FFFFFF"/>
        </w:rPr>
        <w:t>insufficient</w:t>
      </w:r>
      <w:r w:rsidR="006C75BC" w:rsidRPr="004D2588">
        <w:rPr>
          <w:rFonts w:cs="Arial"/>
          <w:shd w:val="clear" w:color="auto" w:fill="FFFFFF"/>
        </w:rPr>
        <w:t xml:space="preserve"> financ</w:t>
      </w:r>
      <w:r w:rsidR="00C145F1" w:rsidRPr="004D2588">
        <w:rPr>
          <w:rFonts w:cs="Arial"/>
          <w:shd w:val="clear" w:color="auto" w:fill="FFFFFF"/>
        </w:rPr>
        <w:t>ial resource</w:t>
      </w:r>
      <w:r w:rsidR="006C75BC" w:rsidRPr="004D2588">
        <w:rPr>
          <w:rFonts w:cs="Arial"/>
          <w:shd w:val="clear" w:color="auto" w:fill="FFFFFF"/>
        </w:rPr>
        <w:t>.  The causes</w:t>
      </w:r>
      <w:r w:rsidRPr="004D2588">
        <w:rPr>
          <w:rFonts w:cs="Arial"/>
          <w:shd w:val="clear" w:color="auto" w:fill="FFFFFF"/>
        </w:rPr>
        <w:t xml:space="preserve"> </w:t>
      </w:r>
      <w:r w:rsidR="00BC6812" w:rsidRPr="004D2588">
        <w:rPr>
          <w:rFonts w:cs="Arial"/>
          <w:shd w:val="clear" w:color="auto" w:fill="FFFFFF"/>
        </w:rPr>
        <w:t>are</w:t>
      </w:r>
      <w:r w:rsidR="006C75BC" w:rsidRPr="004D2588">
        <w:rPr>
          <w:rFonts w:cs="Arial"/>
          <w:shd w:val="clear" w:color="auto" w:fill="FFFFFF"/>
        </w:rPr>
        <w:t xml:space="preserve"> </w:t>
      </w:r>
      <w:proofErr w:type="gramStart"/>
      <w:r w:rsidR="006C75BC" w:rsidRPr="004D2588">
        <w:rPr>
          <w:rFonts w:cs="Arial"/>
          <w:shd w:val="clear" w:color="auto" w:fill="FFFFFF"/>
        </w:rPr>
        <w:t>m</w:t>
      </w:r>
      <w:r w:rsidR="00C145F1" w:rsidRPr="004D2588">
        <w:rPr>
          <w:rFonts w:cs="Arial"/>
          <w:shd w:val="clear" w:color="auto" w:fill="FFFFFF"/>
        </w:rPr>
        <w:t>any</w:t>
      </w:r>
      <w:proofErr w:type="gramEnd"/>
      <w:r w:rsidR="006C75BC" w:rsidRPr="004D2588">
        <w:rPr>
          <w:rFonts w:cs="Arial"/>
          <w:shd w:val="clear" w:color="auto" w:fill="FFFFFF"/>
        </w:rPr>
        <w:t xml:space="preserve"> including inflation, </w:t>
      </w:r>
      <w:r w:rsidR="001E6F53" w:rsidRPr="004D2588">
        <w:rPr>
          <w:rFonts w:cs="Arial"/>
          <w:shd w:val="clear" w:color="auto" w:fill="FFFFFF"/>
        </w:rPr>
        <w:t xml:space="preserve">increased </w:t>
      </w:r>
      <w:r w:rsidR="006C75BC" w:rsidRPr="004D2588">
        <w:rPr>
          <w:rFonts w:cs="Arial"/>
          <w:shd w:val="clear" w:color="auto" w:fill="FFFFFF"/>
        </w:rPr>
        <w:t>demand, and lack of prioritisation.</w:t>
      </w:r>
      <w:r w:rsidR="005F1198" w:rsidRPr="004D2588">
        <w:rPr>
          <w:rFonts w:cs="Arial"/>
          <w:shd w:val="clear" w:color="auto" w:fill="FFFFFF"/>
        </w:rPr>
        <w:t xml:space="preserve">  </w:t>
      </w:r>
      <w:r w:rsidR="00C145F1" w:rsidRPr="004D2588">
        <w:rPr>
          <w:rFonts w:cs="Arial"/>
          <w:shd w:val="clear" w:color="auto" w:fill="FFFFFF"/>
        </w:rPr>
        <w:t>M</w:t>
      </w:r>
      <w:r w:rsidR="006C75BC" w:rsidRPr="004D2588">
        <w:rPr>
          <w:rFonts w:cs="Arial"/>
          <w:shd w:val="clear" w:color="auto" w:fill="FFFFFF"/>
        </w:rPr>
        <w:t xml:space="preserve">itigations </w:t>
      </w:r>
      <w:r w:rsidR="00C145F1" w:rsidRPr="004D2588">
        <w:rPr>
          <w:rFonts w:cs="Arial"/>
          <w:shd w:val="clear" w:color="auto" w:fill="FFFFFF"/>
        </w:rPr>
        <w:t xml:space="preserve">include linking resources to the priorities contained in the Council Strategy 2024- 2028, </w:t>
      </w:r>
      <w:r w:rsidR="00C145F1" w:rsidRPr="004D2588">
        <w:rPr>
          <w:rFonts w:cs="Arial"/>
          <w:shd w:val="clear" w:color="auto" w:fill="FFFFFF"/>
        </w:rPr>
        <w:lastRenderedPageBreak/>
        <w:t>agreeing a M</w:t>
      </w:r>
      <w:r w:rsidR="006A5D45" w:rsidRPr="004D2588">
        <w:rPr>
          <w:rFonts w:cs="Arial"/>
          <w:shd w:val="clear" w:color="auto" w:fill="FFFFFF"/>
        </w:rPr>
        <w:t xml:space="preserve">edium </w:t>
      </w:r>
      <w:r w:rsidR="00C145F1" w:rsidRPr="004D2588">
        <w:rPr>
          <w:rFonts w:cs="Arial"/>
          <w:shd w:val="clear" w:color="auto" w:fill="FFFFFF"/>
        </w:rPr>
        <w:t>T</w:t>
      </w:r>
      <w:r w:rsidR="006A5D45" w:rsidRPr="004D2588">
        <w:rPr>
          <w:rFonts w:cs="Arial"/>
          <w:shd w:val="clear" w:color="auto" w:fill="FFFFFF"/>
        </w:rPr>
        <w:t xml:space="preserve">erm </w:t>
      </w:r>
      <w:r w:rsidR="00C145F1" w:rsidRPr="004D2588">
        <w:rPr>
          <w:rFonts w:cs="Arial"/>
          <w:shd w:val="clear" w:color="auto" w:fill="FFFFFF"/>
        </w:rPr>
        <w:t>F</w:t>
      </w:r>
      <w:r w:rsidR="006A5D45" w:rsidRPr="004D2588">
        <w:rPr>
          <w:rFonts w:cs="Arial"/>
          <w:shd w:val="clear" w:color="auto" w:fill="FFFFFF"/>
        </w:rPr>
        <w:t xml:space="preserve">inancial </w:t>
      </w:r>
      <w:r w:rsidR="007D166D" w:rsidRPr="004D2588">
        <w:rPr>
          <w:rFonts w:cs="Arial"/>
          <w:shd w:val="clear" w:color="auto" w:fill="FFFFFF"/>
        </w:rPr>
        <w:t>S</w:t>
      </w:r>
      <w:r w:rsidR="006A5D45" w:rsidRPr="004D2588">
        <w:rPr>
          <w:rFonts w:cs="Arial"/>
          <w:shd w:val="clear" w:color="auto" w:fill="FFFFFF"/>
        </w:rPr>
        <w:t>trategy</w:t>
      </w:r>
      <w:r w:rsidR="007D166D" w:rsidRPr="004D2588">
        <w:rPr>
          <w:rFonts w:cs="Arial"/>
          <w:shd w:val="clear" w:color="auto" w:fill="FFFFFF"/>
        </w:rPr>
        <w:t xml:space="preserve"> with no unrealistic or unidentified savings, regular monitoring of budgets ensuring savings and income are on target, ensuring companies are on schedule to deliver returns through quarterly monitoring</w:t>
      </w:r>
      <w:r w:rsidR="00BC6812" w:rsidRPr="004D2588">
        <w:rPr>
          <w:rFonts w:cs="Arial"/>
          <w:shd w:val="clear" w:color="auto" w:fill="FFFFFF"/>
        </w:rPr>
        <w:t xml:space="preserve"> and robust monitoring of the capital programme.</w:t>
      </w:r>
    </w:p>
    <w:p w14:paraId="522BE00D" w14:textId="77777777" w:rsidR="00321202" w:rsidRPr="004D2588" w:rsidRDefault="00783110" w:rsidP="004D2588">
      <w:pPr>
        <w:pStyle w:val="Bulletpoints"/>
        <w:numPr>
          <w:ilvl w:val="0"/>
          <w:numId w:val="44"/>
        </w:numPr>
        <w:rPr>
          <w:rFonts w:cs="Arial"/>
          <w:b/>
          <w:bCs/>
          <w:shd w:val="clear" w:color="auto" w:fill="FFFFFF"/>
        </w:rPr>
      </w:pPr>
      <w:r w:rsidRPr="004D2588">
        <w:rPr>
          <w:rFonts w:cs="Arial"/>
          <w:b/>
          <w:bCs/>
          <w:shd w:val="clear" w:color="auto" w:fill="FFFFFF"/>
        </w:rPr>
        <w:t xml:space="preserve">CRR – 007 - </w:t>
      </w:r>
      <w:r w:rsidR="005F1198" w:rsidRPr="004D2588">
        <w:rPr>
          <w:rFonts w:cs="Arial"/>
          <w:b/>
          <w:bCs/>
          <w:shd w:val="clear" w:color="auto" w:fill="FFFFFF"/>
        </w:rPr>
        <w:t>Climate Change – Emergency</w:t>
      </w:r>
    </w:p>
    <w:p w14:paraId="62269B46" w14:textId="2C5A4286" w:rsidR="005F1198" w:rsidRPr="004D2588" w:rsidRDefault="00321202" w:rsidP="004D2588">
      <w:pPr>
        <w:pStyle w:val="Bulletpoints"/>
        <w:ind w:left="720"/>
        <w:rPr>
          <w:rFonts w:cs="Arial"/>
          <w:shd w:val="clear" w:color="auto" w:fill="FFFFFF"/>
        </w:rPr>
      </w:pPr>
      <w:r w:rsidRPr="004D2588">
        <w:rPr>
          <w:rFonts w:cs="Arial"/>
          <w:shd w:val="clear" w:color="auto" w:fill="FFFFFF"/>
        </w:rPr>
        <w:t>If the Council is unable</w:t>
      </w:r>
      <w:r w:rsidR="005F1198" w:rsidRPr="004D2588">
        <w:rPr>
          <w:rFonts w:cs="Arial"/>
          <w:shd w:val="clear" w:color="auto" w:fill="FFFFFF"/>
        </w:rPr>
        <w:t xml:space="preserve"> to meet </w:t>
      </w:r>
      <w:r w:rsidRPr="004D2588">
        <w:rPr>
          <w:rFonts w:cs="Arial"/>
          <w:shd w:val="clear" w:color="auto" w:fill="FFFFFF"/>
        </w:rPr>
        <w:t xml:space="preserve">local and national </w:t>
      </w:r>
      <w:r w:rsidR="005F1198" w:rsidRPr="004D2588">
        <w:rPr>
          <w:rFonts w:cs="Arial"/>
          <w:shd w:val="clear" w:color="auto" w:fill="FFFFFF"/>
        </w:rPr>
        <w:t xml:space="preserve">climate change targets, due to conflicting policies, </w:t>
      </w:r>
      <w:r w:rsidRPr="004D2588">
        <w:rPr>
          <w:rFonts w:cs="Arial"/>
          <w:shd w:val="clear" w:color="auto" w:fill="FFFFFF"/>
        </w:rPr>
        <w:t xml:space="preserve">the </w:t>
      </w:r>
      <w:r w:rsidR="005F1198" w:rsidRPr="004D2588">
        <w:rPr>
          <w:rFonts w:cs="Arial"/>
          <w:shd w:val="clear" w:color="auto" w:fill="FFFFFF"/>
        </w:rPr>
        <w:t xml:space="preserve">pace of delivery </w:t>
      </w:r>
      <w:r w:rsidRPr="004D2588">
        <w:rPr>
          <w:rFonts w:cs="Arial"/>
          <w:shd w:val="clear" w:color="auto" w:fill="FFFFFF"/>
        </w:rPr>
        <w:t xml:space="preserve">needed </w:t>
      </w:r>
      <w:r w:rsidR="005F1198" w:rsidRPr="004D2588">
        <w:rPr>
          <w:rFonts w:cs="Arial"/>
          <w:shd w:val="clear" w:color="auto" w:fill="FFFFFF"/>
        </w:rPr>
        <w:t>and a skills and technology gap</w:t>
      </w:r>
      <w:r w:rsidR="006A5D45" w:rsidRPr="004D2588">
        <w:rPr>
          <w:rFonts w:cs="Arial"/>
          <w:shd w:val="clear" w:color="auto" w:fill="FFFFFF"/>
        </w:rPr>
        <w:t>,</w:t>
      </w:r>
      <w:r w:rsidR="005F1198" w:rsidRPr="004D2588">
        <w:rPr>
          <w:rFonts w:cs="Arial"/>
          <w:shd w:val="clear" w:color="auto" w:fill="FFFFFF"/>
        </w:rPr>
        <w:t xml:space="preserve"> </w:t>
      </w:r>
      <w:r w:rsidRPr="004D2588">
        <w:rPr>
          <w:rFonts w:cs="Arial"/>
          <w:shd w:val="clear" w:color="auto" w:fill="FFFFFF"/>
        </w:rPr>
        <w:t>there will be an</w:t>
      </w:r>
      <w:r w:rsidR="005F1198" w:rsidRPr="004D2588">
        <w:rPr>
          <w:rFonts w:cs="Arial"/>
          <w:shd w:val="clear" w:color="auto" w:fill="FFFFFF"/>
        </w:rPr>
        <w:t xml:space="preserve"> impact on reputation, commercial property letting, increased extreme weather</w:t>
      </w:r>
      <w:r w:rsidR="00073E53" w:rsidRPr="004D2588">
        <w:rPr>
          <w:rFonts w:cs="Arial"/>
          <w:shd w:val="clear" w:color="auto" w:fill="FFFFFF"/>
        </w:rPr>
        <w:t xml:space="preserve"> </w:t>
      </w:r>
      <w:r w:rsidR="005F1198" w:rsidRPr="004D2588">
        <w:rPr>
          <w:rFonts w:cs="Arial"/>
          <w:shd w:val="clear" w:color="auto" w:fill="FFFFFF"/>
        </w:rPr>
        <w:t>and an adverse impact on the workforce and residents.</w:t>
      </w:r>
      <w:r w:rsidR="00B25060" w:rsidRPr="004D2588">
        <w:rPr>
          <w:rFonts w:cs="Arial"/>
          <w:shd w:val="clear" w:color="auto" w:fill="FFFFFF"/>
        </w:rPr>
        <w:t xml:space="preserve">  Mitigations include actively engaging in </w:t>
      </w:r>
      <w:r w:rsidRPr="004D2588">
        <w:rPr>
          <w:rFonts w:cs="Arial"/>
          <w:shd w:val="clear" w:color="auto" w:fill="FFFFFF"/>
        </w:rPr>
        <w:t>partnerships</w:t>
      </w:r>
      <w:r w:rsidR="00B25060" w:rsidRPr="004D2588">
        <w:rPr>
          <w:rFonts w:cs="Arial"/>
          <w:shd w:val="clear" w:color="auto" w:fill="FFFFFF"/>
        </w:rPr>
        <w:t xml:space="preserve">, having a pipeline of projects, securing </w:t>
      </w:r>
      <w:r w:rsidRPr="004D2588">
        <w:rPr>
          <w:rFonts w:cs="Arial"/>
          <w:shd w:val="clear" w:color="auto" w:fill="FFFFFF"/>
        </w:rPr>
        <w:t>policy-based</w:t>
      </w:r>
      <w:r w:rsidR="00B25060" w:rsidRPr="004D2588">
        <w:rPr>
          <w:rFonts w:cs="Arial"/>
          <w:shd w:val="clear" w:color="auto" w:fill="FFFFFF"/>
        </w:rPr>
        <w:t xml:space="preserve"> improvements including new build and retrofit and developing policies that support the decarbonisation of transport.</w:t>
      </w:r>
    </w:p>
    <w:p w14:paraId="525B32A0" w14:textId="77777777" w:rsidR="00321202" w:rsidRPr="004D2588" w:rsidRDefault="00783110" w:rsidP="004D2588">
      <w:pPr>
        <w:pStyle w:val="Bulletpoints"/>
        <w:numPr>
          <w:ilvl w:val="0"/>
          <w:numId w:val="44"/>
        </w:numPr>
        <w:rPr>
          <w:rFonts w:cs="Arial"/>
          <w:b/>
          <w:bCs/>
          <w:shd w:val="clear" w:color="auto" w:fill="FFFFFF"/>
        </w:rPr>
      </w:pPr>
      <w:r w:rsidRPr="004D2588">
        <w:rPr>
          <w:rFonts w:cs="Arial"/>
          <w:b/>
          <w:bCs/>
          <w:shd w:val="clear" w:color="auto" w:fill="FFFFFF"/>
        </w:rPr>
        <w:t xml:space="preserve">CRR-008 - </w:t>
      </w:r>
      <w:r w:rsidR="00F90DE3" w:rsidRPr="004D2588">
        <w:rPr>
          <w:rFonts w:cs="Arial"/>
          <w:b/>
          <w:bCs/>
          <w:shd w:val="clear" w:color="auto" w:fill="FFFFFF"/>
        </w:rPr>
        <w:t>Climate Change Adaptation</w:t>
      </w:r>
      <w:r w:rsidR="00896FB7" w:rsidRPr="004D2588">
        <w:rPr>
          <w:rFonts w:cs="Arial"/>
          <w:b/>
          <w:bCs/>
          <w:shd w:val="clear" w:color="auto" w:fill="FFFFFF"/>
        </w:rPr>
        <w:t xml:space="preserve"> </w:t>
      </w:r>
    </w:p>
    <w:p w14:paraId="1FD3B05F" w14:textId="686941E6" w:rsidR="00A603BB" w:rsidRPr="004D2588" w:rsidRDefault="00321202" w:rsidP="004D2588">
      <w:pPr>
        <w:pStyle w:val="Bulletpoints"/>
        <w:ind w:left="720"/>
        <w:rPr>
          <w:rFonts w:cs="Arial"/>
          <w:shd w:val="clear" w:color="auto" w:fill="FFFFFF"/>
        </w:rPr>
      </w:pPr>
      <w:r w:rsidRPr="004D2588">
        <w:rPr>
          <w:rFonts w:cs="Arial"/>
          <w:shd w:val="clear" w:color="auto" w:fill="FFFFFF"/>
        </w:rPr>
        <w:t>If the Council is unable to deliver climate change adaption because of</w:t>
      </w:r>
      <w:r w:rsidR="00170F5B" w:rsidRPr="004D2588">
        <w:rPr>
          <w:rFonts w:cs="Arial"/>
          <w:shd w:val="clear" w:color="auto" w:fill="FFFFFF"/>
        </w:rPr>
        <w:t xml:space="preserve"> a</w:t>
      </w:r>
      <w:r w:rsidRPr="004D2588">
        <w:rPr>
          <w:rFonts w:cs="Arial"/>
          <w:shd w:val="clear" w:color="auto" w:fill="FFFFFF"/>
        </w:rPr>
        <w:t xml:space="preserve"> lack of funding or awareness of different options, both it and its communities will be </w:t>
      </w:r>
      <w:r w:rsidR="00170F5B" w:rsidRPr="004D2588">
        <w:rPr>
          <w:rFonts w:cs="Arial"/>
          <w:shd w:val="clear" w:color="auto" w:fill="FFFFFF"/>
        </w:rPr>
        <w:t>exposed to</w:t>
      </w:r>
      <w:r w:rsidR="00F90DE3" w:rsidRPr="004D2588">
        <w:rPr>
          <w:rFonts w:cs="Arial"/>
          <w:shd w:val="clear" w:color="auto" w:fill="FFFFFF"/>
        </w:rPr>
        <w:t xml:space="preserve"> the future impacts of climate change leading to an increased exposure to future weather events, damage to reputation and infrastructure and </w:t>
      </w:r>
      <w:r w:rsidR="005F1198" w:rsidRPr="004D2588">
        <w:rPr>
          <w:rFonts w:cs="Arial"/>
          <w:shd w:val="clear" w:color="auto" w:fill="FFFFFF"/>
        </w:rPr>
        <w:t xml:space="preserve">an adverse </w:t>
      </w:r>
      <w:proofErr w:type="gramStart"/>
      <w:r w:rsidR="005F1198" w:rsidRPr="004D2588">
        <w:rPr>
          <w:rFonts w:cs="Arial"/>
          <w:shd w:val="clear" w:color="auto" w:fill="FFFFFF"/>
        </w:rPr>
        <w:t>financial impact</w:t>
      </w:r>
      <w:proofErr w:type="gramEnd"/>
      <w:r w:rsidR="005F1198" w:rsidRPr="004D2588">
        <w:rPr>
          <w:rFonts w:cs="Arial"/>
          <w:shd w:val="clear" w:color="auto" w:fill="FFFFFF"/>
        </w:rPr>
        <w:t>.</w:t>
      </w:r>
    </w:p>
    <w:p w14:paraId="0E4968A8" w14:textId="4A2CBAD1" w:rsidR="00B036CB" w:rsidRPr="004D2588" w:rsidRDefault="00A603BB" w:rsidP="004D2588">
      <w:pPr>
        <w:pStyle w:val="Bulletpoints"/>
        <w:ind w:left="720"/>
        <w:rPr>
          <w:rFonts w:cs="Arial"/>
          <w:shd w:val="clear" w:color="auto" w:fill="FFFFFF"/>
        </w:rPr>
      </w:pPr>
      <w:r w:rsidRPr="004D2588">
        <w:rPr>
          <w:rFonts w:cs="Arial"/>
          <w:shd w:val="clear" w:color="auto" w:fill="FFFFFF"/>
        </w:rPr>
        <w:t xml:space="preserve">The Council does not have control over the global </w:t>
      </w:r>
      <w:r w:rsidR="00170F5B" w:rsidRPr="004D2588">
        <w:rPr>
          <w:rFonts w:cs="Arial"/>
          <w:shd w:val="clear" w:color="auto" w:fill="FFFFFF"/>
        </w:rPr>
        <w:t>climate,</w:t>
      </w:r>
      <w:r w:rsidRPr="004D2588">
        <w:rPr>
          <w:rFonts w:cs="Arial"/>
          <w:shd w:val="clear" w:color="auto" w:fill="FFFFFF"/>
        </w:rPr>
        <w:t xml:space="preserve"> but it can make changes and improvements within its sphere of influence.  </w:t>
      </w:r>
      <w:r w:rsidR="00170F5B" w:rsidRPr="004D2588">
        <w:rPr>
          <w:rFonts w:cs="Arial"/>
          <w:shd w:val="clear" w:color="auto" w:fill="FFFFFF"/>
        </w:rPr>
        <w:t>A</w:t>
      </w:r>
      <w:r w:rsidR="00896FB7" w:rsidRPr="004D2588">
        <w:rPr>
          <w:rFonts w:cs="Arial"/>
          <w:shd w:val="clear" w:color="auto" w:fill="FFFFFF"/>
        </w:rPr>
        <w:t xml:space="preserve">ction on climate change </w:t>
      </w:r>
      <w:r w:rsidR="00170F5B" w:rsidRPr="004D2588">
        <w:rPr>
          <w:rFonts w:cs="Arial"/>
          <w:shd w:val="clear" w:color="auto" w:fill="FFFFFF"/>
        </w:rPr>
        <w:t xml:space="preserve">is one of the Council’s </w:t>
      </w:r>
      <w:r w:rsidR="00896FB7" w:rsidRPr="004D2588">
        <w:rPr>
          <w:rFonts w:cs="Arial"/>
          <w:shd w:val="clear" w:color="auto" w:fill="FFFFFF"/>
        </w:rPr>
        <w:t xml:space="preserve">corporate priorities and </w:t>
      </w:r>
      <w:r w:rsidR="00170F5B" w:rsidRPr="004D2588">
        <w:rPr>
          <w:rFonts w:cs="Arial"/>
          <w:shd w:val="clear" w:color="auto" w:fill="FFFFFF"/>
        </w:rPr>
        <w:t xml:space="preserve">it </w:t>
      </w:r>
      <w:r w:rsidR="00896FB7" w:rsidRPr="004D2588">
        <w:rPr>
          <w:rFonts w:cs="Arial"/>
          <w:shd w:val="clear" w:color="auto" w:fill="FFFFFF"/>
        </w:rPr>
        <w:t>has stepped up its programme of action, partnering and influencing to seek to mitigate social</w:t>
      </w:r>
      <w:r w:rsidR="008E4BF9" w:rsidRPr="004D2588">
        <w:rPr>
          <w:rFonts w:cs="Arial"/>
          <w:shd w:val="clear" w:color="auto" w:fill="FFFFFF"/>
        </w:rPr>
        <w:t>,</w:t>
      </w:r>
      <w:r w:rsidR="00896FB7" w:rsidRPr="004D2588">
        <w:rPr>
          <w:rFonts w:cs="Arial"/>
          <w:shd w:val="clear" w:color="auto" w:fill="FFFFFF"/>
        </w:rPr>
        <w:t xml:space="preserve"> health and environmental impacts on the </w:t>
      </w:r>
      <w:r w:rsidR="00B25060" w:rsidRPr="004D2588">
        <w:rPr>
          <w:rFonts w:cs="Arial"/>
          <w:shd w:val="clear" w:color="auto" w:fill="FFFFFF"/>
        </w:rPr>
        <w:t>city</w:t>
      </w:r>
      <w:r w:rsidR="00896FB7" w:rsidRPr="004D2588">
        <w:rPr>
          <w:rFonts w:cs="Arial"/>
          <w:shd w:val="clear" w:color="auto" w:fill="FFFFFF"/>
        </w:rPr>
        <w:t xml:space="preserve">. </w:t>
      </w:r>
      <w:r w:rsidR="00B25060" w:rsidRPr="004D2588">
        <w:rPr>
          <w:rFonts w:cs="Arial"/>
          <w:shd w:val="clear" w:color="auto" w:fill="FFFFFF"/>
        </w:rPr>
        <w:t>Actions include supporting the climate adaption strategy led by the County Council and the biodiversity strategy and driving forward the Oxford Flood Alleviation Scheme.</w:t>
      </w:r>
    </w:p>
    <w:p w14:paraId="04AD904E" w14:textId="241EF139" w:rsidR="002A68B2" w:rsidRDefault="002A68B2" w:rsidP="002A68B2">
      <w:pPr>
        <w:pStyle w:val="Heading1"/>
      </w:pPr>
      <w:r w:rsidRPr="0078409C">
        <w:t>Service Risk Register</w:t>
      </w:r>
      <w:r>
        <w:t xml:space="preserve">s </w:t>
      </w:r>
    </w:p>
    <w:p w14:paraId="1185B17E" w14:textId="116DE3A4" w:rsidR="00433B2E" w:rsidRPr="007D6D19" w:rsidRDefault="00170F5B" w:rsidP="007D6D19">
      <w:pPr>
        <w:pStyle w:val="bParagraphtext"/>
        <w:rPr>
          <w:bCs/>
        </w:rPr>
      </w:pPr>
      <w:r w:rsidRPr="007D6D19">
        <w:rPr>
          <w:bCs/>
        </w:rPr>
        <w:t>A</w:t>
      </w:r>
      <w:r w:rsidR="00031663" w:rsidRPr="007D6D19">
        <w:rPr>
          <w:bCs/>
        </w:rPr>
        <w:t>s part of the service planning process</w:t>
      </w:r>
      <w:r w:rsidR="008E4BF9" w:rsidRPr="007D6D19">
        <w:rPr>
          <w:bCs/>
        </w:rPr>
        <w:t>,</w:t>
      </w:r>
      <w:r w:rsidR="00031663" w:rsidRPr="007D6D19">
        <w:rPr>
          <w:bCs/>
        </w:rPr>
        <w:t xml:space="preserve"> all service risks are reviewed</w:t>
      </w:r>
      <w:r w:rsidRPr="007D6D19">
        <w:rPr>
          <w:bCs/>
        </w:rPr>
        <w:t>.  T</w:t>
      </w:r>
      <w:r w:rsidR="005D409C" w:rsidRPr="007D6D19">
        <w:rPr>
          <w:bCs/>
        </w:rPr>
        <w:t>hose</w:t>
      </w:r>
      <w:r w:rsidR="00031663" w:rsidRPr="007D6D19">
        <w:rPr>
          <w:bCs/>
        </w:rPr>
        <w:t xml:space="preserve"> no longer relevant </w:t>
      </w:r>
      <w:proofErr w:type="gramStart"/>
      <w:r w:rsidR="00031663" w:rsidRPr="007D6D19">
        <w:rPr>
          <w:bCs/>
        </w:rPr>
        <w:t>are deleted</w:t>
      </w:r>
      <w:proofErr w:type="gramEnd"/>
      <w:r w:rsidR="00031663" w:rsidRPr="007D6D19">
        <w:rPr>
          <w:bCs/>
        </w:rPr>
        <w:t xml:space="preserve"> and any new ones added.</w:t>
      </w:r>
      <w:r w:rsidR="00F16A77" w:rsidRPr="007D6D19">
        <w:rPr>
          <w:bCs/>
        </w:rPr>
        <w:t xml:space="preserve">  </w:t>
      </w:r>
      <w:r w:rsidR="00F73DEB">
        <w:rPr>
          <w:bCs/>
        </w:rPr>
        <w:t>T</w:t>
      </w:r>
      <w:r w:rsidR="00F16A77" w:rsidRPr="007D6D19">
        <w:rPr>
          <w:bCs/>
        </w:rPr>
        <w:t xml:space="preserve">he service risk register is attached as </w:t>
      </w:r>
      <w:r w:rsidR="009C66E3" w:rsidRPr="007D6D19">
        <w:rPr>
          <w:bCs/>
        </w:rPr>
        <w:t>A</w:t>
      </w:r>
      <w:r w:rsidR="00F16A77" w:rsidRPr="007D6D19">
        <w:rPr>
          <w:bCs/>
        </w:rPr>
        <w:t>ppendi</w:t>
      </w:r>
      <w:r w:rsidR="009C66E3" w:rsidRPr="007D6D19">
        <w:rPr>
          <w:bCs/>
        </w:rPr>
        <w:t>x 3 showing risks and controls and</w:t>
      </w:r>
      <w:r w:rsidR="00F16A77" w:rsidRPr="007D6D19">
        <w:rPr>
          <w:bCs/>
        </w:rPr>
        <w:t xml:space="preserve"> at Appendix </w:t>
      </w:r>
      <w:r w:rsidR="009C66E3" w:rsidRPr="007D6D19">
        <w:rPr>
          <w:bCs/>
        </w:rPr>
        <w:t>4</w:t>
      </w:r>
      <w:r w:rsidR="00F16A77" w:rsidRPr="007D6D19">
        <w:rPr>
          <w:bCs/>
        </w:rPr>
        <w:t xml:space="preserve"> </w:t>
      </w:r>
      <w:r w:rsidR="009C66E3" w:rsidRPr="007D6D19">
        <w:rPr>
          <w:bCs/>
        </w:rPr>
        <w:t>showing risks only</w:t>
      </w:r>
      <w:r w:rsidR="00F16A77" w:rsidRPr="007D6D19">
        <w:rPr>
          <w:bCs/>
        </w:rPr>
        <w:t>.</w:t>
      </w:r>
    </w:p>
    <w:p w14:paraId="50F6E83E" w14:textId="77777777" w:rsidR="005D409C" w:rsidRDefault="005D409C" w:rsidP="005D409C">
      <w:pPr>
        <w:ind w:left="142"/>
      </w:pPr>
    </w:p>
    <w:p w14:paraId="2B387894" w14:textId="32F537D5" w:rsidR="005D409C" w:rsidRDefault="005D409C" w:rsidP="005D409C">
      <w:pPr>
        <w:pStyle w:val="ListParagraph"/>
      </w:pPr>
      <w:r>
        <w:t xml:space="preserve">The table below shows the number of service risks </w:t>
      </w:r>
      <w:r w:rsidR="00BE7E79">
        <w:t xml:space="preserve">as </w:t>
      </w:r>
      <w:r>
        <w:t xml:space="preserve">at </w:t>
      </w:r>
      <w:r w:rsidR="009C66E3">
        <w:t>3</w:t>
      </w:r>
      <w:r w:rsidR="008E4BF9">
        <w:t>1 December 2024</w:t>
      </w:r>
      <w:r w:rsidR="00861B4B">
        <w:t xml:space="preserve"> </w:t>
      </w:r>
      <w:r>
        <w:t xml:space="preserve">compared with the </w:t>
      </w:r>
      <w:r w:rsidR="00861B4B">
        <w:t xml:space="preserve">previous </w:t>
      </w:r>
      <w:r w:rsidR="00F60F98">
        <w:t>reported quarters</w:t>
      </w:r>
      <w:r>
        <w:t>.</w:t>
      </w:r>
    </w:p>
    <w:tbl>
      <w:tblPr>
        <w:tblW w:w="6607" w:type="dxa"/>
        <w:tblInd w:w="602" w:type="dxa"/>
        <w:tblLook w:val="04A0" w:firstRow="1" w:lastRow="0" w:firstColumn="1" w:lastColumn="0" w:noHBand="0" w:noVBand="1"/>
      </w:tblPr>
      <w:tblGrid>
        <w:gridCol w:w="2240"/>
        <w:gridCol w:w="1084"/>
        <w:gridCol w:w="1084"/>
        <w:gridCol w:w="1084"/>
        <w:gridCol w:w="1115"/>
      </w:tblGrid>
      <w:tr w:rsidR="009C66E3" w:rsidRPr="009C66E3" w14:paraId="2536CCEE" w14:textId="77777777" w:rsidTr="00680EBE">
        <w:trPr>
          <w:trHeight w:val="312"/>
        </w:trPr>
        <w:tc>
          <w:tcPr>
            <w:tcW w:w="224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A595D6D" w14:textId="77777777" w:rsidR="009C66E3" w:rsidRPr="009C66E3" w:rsidRDefault="009C66E3" w:rsidP="009C66E3">
            <w:pPr>
              <w:spacing w:after="0"/>
              <w:jc w:val="center"/>
              <w:rPr>
                <w:rFonts w:cs="Arial"/>
                <w:b/>
                <w:bCs/>
              </w:rPr>
            </w:pPr>
            <w:r w:rsidRPr="009C66E3">
              <w:rPr>
                <w:rFonts w:cs="Arial"/>
                <w:b/>
                <w:bCs/>
              </w:rPr>
              <w:t>Current Risk</w:t>
            </w:r>
          </w:p>
        </w:tc>
        <w:tc>
          <w:tcPr>
            <w:tcW w:w="1084" w:type="dxa"/>
            <w:tcBorders>
              <w:top w:val="single" w:sz="8" w:space="0" w:color="000000"/>
              <w:left w:val="nil"/>
              <w:bottom w:val="nil"/>
              <w:right w:val="single" w:sz="8" w:space="0" w:color="000000"/>
            </w:tcBorders>
            <w:shd w:val="clear" w:color="auto" w:fill="auto"/>
            <w:vAlign w:val="center"/>
            <w:hideMark/>
          </w:tcPr>
          <w:p w14:paraId="3161FFB5" w14:textId="16E3ECDB" w:rsidR="009C66E3" w:rsidRPr="009C66E3" w:rsidRDefault="009C66E3" w:rsidP="009C66E3">
            <w:pPr>
              <w:spacing w:after="0"/>
              <w:jc w:val="center"/>
              <w:rPr>
                <w:rFonts w:cs="Arial"/>
                <w:b/>
                <w:bCs/>
              </w:rPr>
            </w:pPr>
            <w:r w:rsidRPr="009C66E3">
              <w:rPr>
                <w:rFonts w:cs="Arial"/>
                <w:b/>
                <w:bCs/>
              </w:rPr>
              <w:t>Q</w:t>
            </w:r>
            <w:r w:rsidR="000550C7">
              <w:rPr>
                <w:rFonts w:cs="Arial"/>
                <w:b/>
                <w:bCs/>
              </w:rPr>
              <w:t>3</w:t>
            </w:r>
          </w:p>
        </w:tc>
        <w:tc>
          <w:tcPr>
            <w:tcW w:w="1084" w:type="dxa"/>
            <w:tcBorders>
              <w:top w:val="single" w:sz="8" w:space="0" w:color="000000"/>
              <w:left w:val="nil"/>
              <w:bottom w:val="nil"/>
              <w:right w:val="single" w:sz="8" w:space="0" w:color="000000"/>
            </w:tcBorders>
            <w:shd w:val="clear" w:color="auto" w:fill="auto"/>
            <w:vAlign w:val="center"/>
            <w:hideMark/>
          </w:tcPr>
          <w:p w14:paraId="179B85D1" w14:textId="4974EF0F" w:rsidR="009C66E3" w:rsidRPr="009C66E3" w:rsidRDefault="009C66E3" w:rsidP="009C66E3">
            <w:pPr>
              <w:spacing w:after="0"/>
              <w:jc w:val="center"/>
              <w:rPr>
                <w:rFonts w:cs="Arial"/>
                <w:b/>
                <w:bCs/>
              </w:rPr>
            </w:pPr>
            <w:r w:rsidRPr="009C66E3">
              <w:rPr>
                <w:rFonts w:cs="Arial"/>
                <w:b/>
                <w:bCs/>
              </w:rPr>
              <w:t>Q</w:t>
            </w:r>
            <w:r w:rsidR="000550C7">
              <w:rPr>
                <w:rFonts w:cs="Arial"/>
                <w:b/>
                <w:bCs/>
              </w:rPr>
              <w:t>4</w:t>
            </w:r>
          </w:p>
        </w:tc>
        <w:tc>
          <w:tcPr>
            <w:tcW w:w="1084" w:type="dxa"/>
            <w:tcBorders>
              <w:top w:val="single" w:sz="8" w:space="0" w:color="000000"/>
              <w:left w:val="nil"/>
              <w:bottom w:val="nil"/>
              <w:right w:val="single" w:sz="8" w:space="0" w:color="000000"/>
            </w:tcBorders>
            <w:shd w:val="clear" w:color="auto" w:fill="auto"/>
            <w:vAlign w:val="center"/>
            <w:hideMark/>
          </w:tcPr>
          <w:p w14:paraId="44696C35" w14:textId="2603EDB7" w:rsidR="009C66E3" w:rsidRPr="009C66E3" w:rsidRDefault="009C66E3" w:rsidP="009C66E3">
            <w:pPr>
              <w:spacing w:after="0"/>
              <w:jc w:val="center"/>
              <w:rPr>
                <w:rFonts w:cs="Arial"/>
                <w:b/>
                <w:bCs/>
              </w:rPr>
            </w:pPr>
            <w:r w:rsidRPr="009C66E3">
              <w:rPr>
                <w:rFonts w:cs="Arial"/>
                <w:b/>
                <w:bCs/>
              </w:rPr>
              <w:t>Q</w:t>
            </w:r>
            <w:r w:rsidR="000550C7">
              <w:rPr>
                <w:rFonts w:cs="Arial"/>
                <w:b/>
                <w:bCs/>
              </w:rPr>
              <w:t>1</w:t>
            </w:r>
          </w:p>
        </w:tc>
        <w:tc>
          <w:tcPr>
            <w:tcW w:w="1115" w:type="dxa"/>
            <w:tcBorders>
              <w:top w:val="single" w:sz="8" w:space="0" w:color="000000"/>
              <w:left w:val="nil"/>
              <w:bottom w:val="nil"/>
              <w:right w:val="single" w:sz="8" w:space="0" w:color="000000"/>
            </w:tcBorders>
            <w:shd w:val="clear" w:color="auto" w:fill="auto"/>
            <w:vAlign w:val="center"/>
            <w:hideMark/>
          </w:tcPr>
          <w:p w14:paraId="1B68F975" w14:textId="7FC34218" w:rsidR="009C66E3" w:rsidRPr="009C66E3" w:rsidRDefault="009C66E3" w:rsidP="009C66E3">
            <w:pPr>
              <w:spacing w:after="0"/>
              <w:jc w:val="center"/>
              <w:rPr>
                <w:rFonts w:cs="Arial"/>
                <w:b/>
                <w:bCs/>
              </w:rPr>
            </w:pPr>
            <w:r w:rsidRPr="009C66E3">
              <w:rPr>
                <w:rFonts w:cs="Arial"/>
                <w:b/>
                <w:bCs/>
              </w:rPr>
              <w:t>Q</w:t>
            </w:r>
            <w:r w:rsidR="000550C7">
              <w:rPr>
                <w:rFonts w:cs="Arial"/>
                <w:b/>
                <w:bCs/>
              </w:rPr>
              <w:t>3</w:t>
            </w:r>
          </w:p>
        </w:tc>
      </w:tr>
      <w:tr w:rsidR="009C66E3" w:rsidRPr="009C66E3" w14:paraId="09993A60" w14:textId="77777777" w:rsidTr="00680EBE">
        <w:trPr>
          <w:trHeight w:val="324"/>
        </w:trPr>
        <w:tc>
          <w:tcPr>
            <w:tcW w:w="2240" w:type="dxa"/>
            <w:vMerge/>
            <w:tcBorders>
              <w:top w:val="single" w:sz="8" w:space="0" w:color="000000"/>
              <w:left w:val="single" w:sz="8" w:space="0" w:color="000000"/>
              <w:bottom w:val="single" w:sz="8" w:space="0" w:color="000000"/>
              <w:right w:val="single" w:sz="8" w:space="0" w:color="000000"/>
            </w:tcBorders>
            <w:vAlign w:val="center"/>
            <w:hideMark/>
          </w:tcPr>
          <w:p w14:paraId="42608E9E" w14:textId="77777777" w:rsidR="009C66E3" w:rsidRPr="009C66E3" w:rsidRDefault="009C66E3" w:rsidP="009C66E3">
            <w:pPr>
              <w:spacing w:after="0"/>
              <w:rPr>
                <w:rFonts w:cs="Arial"/>
                <w:b/>
                <w:bCs/>
              </w:rPr>
            </w:pPr>
          </w:p>
        </w:tc>
        <w:tc>
          <w:tcPr>
            <w:tcW w:w="1084" w:type="dxa"/>
            <w:tcBorders>
              <w:top w:val="nil"/>
              <w:left w:val="nil"/>
              <w:bottom w:val="single" w:sz="8" w:space="0" w:color="000000"/>
              <w:right w:val="single" w:sz="8" w:space="0" w:color="000000"/>
            </w:tcBorders>
            <w:shd w:val="clear" w:color="auto" w:fill="auto"/>
            <w:vAlign w:val="center"/>
            <w:hideMark/>
          </w:tcPr>
          <w:p w14:paraId="0D4C1A2B" w14:textId="49DBB99F" w:rsidR="009C66E3" w:rsidRPr="009C66E3" w:rsidRDefault="000550C7" w:rsidP="008C1D8C">
            <w:pPr>
              <w:spacing w:after="0"/>
              <w:rPr>
                <w:rFonts w:cs="Arial"/>
                <w:b/>
                <w:bCs/>
              </w:rPr>
            </w:pPr>
            <w:r w:rsidRPr="009C66E3">
              <w:rPr>
                <w:rFonts w:cs="Arial"/>
                <w:b/>
                <w:bCs/>
              </w:rPr>
              <w:t>2023/24</w:t>
            </w:r>
          </w:p>
        </w:tc>
        <w:tc>
          <w:tcPr>
            <w:tcW w:w="1084" w:type="dxa"/>
            <w:tcBorders>
              <w:top w:val="nil"/>
              <w:left w:val="nil"/>
              <w:bottom w:val="single" w:sz="8" w:space="0" w:color="000000"/>
              <w:right w:val="single" w:sz="8" w:space="0" w:color="000000"/>
            </w:tcBorders>
            <w:shd w:val="clear" w:color="auto" w:fill="auto"/>
            <w:vAlign w:val="center"/>
            <w:hideMark/>
          </w:tcPr>
          <w:p w14:paraId="3B94A423" w14:textId="77777777" w:rsidR="009C66E3" w:rsidRPr="009C66E3" w:rsidRDefault="009C66E3" w:rsidP="009C66E3">
            <w:pPr>
              <w:spacing w:after="0"/>
              <w:jc w:val="center"/>
              <w:rPr>
                <w:rFonts w:cs="Arial"/>
                <w:b/>
                <w:bCs/>
              </w:rPr>
            </w:pPr>
            <w:r w:rsidRPr="009C66E3">
              <w:rPr>
                <w:rFonts w:cs="Arial"/>
                <w:b/>
                <w:bCs/>
              </w:rPr>
              <w:t>2023/24</w:t>
            </w:r>
          </w:p>
        </w:tc>
        <w:tc>
          <w:tcPr>
            <w:tcW w:w="1084" w:type="dxa"/>
            <w:tcBorders>
              <w:top w:val="nil"/>
              <w:left w:val="nil"/>
              <w:bottom w:val="single" w:sz="8" w:space="0" w:color="000000"/>
              <w:right w:val="single" w:sz="8" w:space="0" w:color="000000"/>
            </w:tcBorders>
            <w:shd w:val="clear" w:color="auto" w:fill="auto"/>
            <w:vAlign w:val="center"/>
            <w:hideMark/>
          </w:tcPr>
          <w:p w14:paraId="50699540" w14:textId="1C829CE7" w:rsidR="009C66E3" w:rsidRPr="009C66E3" w:rsidRDefault="009C66E3" w:rsidP="009C66E3">
            <w:pPr>
              <w:spacing w:after="0"/>
              <w:jc w:val="center"/>
              <w:rPr>
                <w:rFonts w:cs="Arial"/>
                <w:b/>
                <w:bCs/>
              </w:rPr>
            </w:pPr>
            <w:r w:rsidRPr="009C66E3">
              <w:rPr>
                <w:rFonts w:cs="Arial"/>
                <w:b/>
                <w:bCs/>
              </w:rPr>
              <w:t>202</w:t>
            </w:r>
            <w:r w:rsidR="000550C7">
              <w:rPr>
                <w:rFonts w:cs="Arial"/>
                <w:b/>
                <w:bCs/>
              </w:rPr>
              <w:t>4</w:t>
            </w:r>
            <w:r w:rsidRPr="009C66E3">
              <w:rPr>
                <w:rFonts w:cs="Arial"/>
                <w:b/>
                <w:bCs/>
              </w:rPr>
              <w:t>/2</w:t>
            </w:r>
            <w:r w:rsidR="000550C7">
              <w:rPr>
                <w:rFonts w:cs="Arial"/>
                <w:b/>
                <w:bCs/>
              </w:rPr>
              <w:t>5</w:t>
            </w:r>
          </w:p>
        </w:tc>
        <w:tc>
          <w:tcPr>
            <w:tcW w:w="1115" w:type="dxa"/>
            <w:tcBorders>
              <w:top w:val="nil"/>
              <w:left w:val="nil"/>
              <w:bottom w:val="single" w:sz="8" w:space="0" w:color="000000"/>
              <w:right w:val="single" w:sz="8" w:space="0" w:color="000000"/>
            </w:tcBorders>
            <w:shd w:val="clear" w:color="auto" w:fill="auto"/>
            <w:vAlign w:val="center"/>
            <w:hideMark/>
          </w:tcPr>
          <w:p w14:paraId="7D8F9D7A" w14:textId="77777777" w:rsidR="009C66E3" w:rsidRPr="009C66E3" w:rsidRDefault="009C66E3" w:rsidP="009C66E3">
            <w:pPr>
              <w:spacing w:after="0"/>
              <w:jc w:val="center"/>
              <w:rPr>
                <w:rFonts w:cs="Arial"/>
                <w:b/>
                <w:bCs/>
              </w:rPr>
            </w:pPr>
            <w:r w:rsidRPr="009C66E3">
              <w:rPr>
                <w:rFonts w:cs="Arial"/>
                <w:b/>
                <w:bCs/>
              </w:rPr>
              <w:t>2024/25</w:t>
            </w:r>
          </w:p>
        </w:tc>
      </w:tr>
      <w:tr w:rsidR="009C66E3" w:rsidRPr="009C66E3" w14:paraId="5167746B" w14:textId="77777777" w:rsidTr="008C1D8C">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56611B76" w14:textId="77777777" w:rsidR="009C66E3" w:rsidRPr="009C66E3" w:rsidRDefault="009C66E3" w:rsidP="009C66E3">
            <w:pPr>
              <w:spacing w:after="0"/>
              <w:rPr>
                <w:rFonts w:cs="Arial"/>
              </w:rPr>
            </w:pPr>
            <w:r w:rsidRPr="009C66E3">
              <w:rPr>
                <w:rFonts w:cs="Arial"/>
              </w:rPr>
              <w:t>Red</w:t>
            </w:r>
          </w:p>
        </w:tc>
        <w:tc>
          <w:tcPr>
            <w:tcW w:w="1084" w:type="dxa"/>
            <w:tcBorders>
              <w:top w:val="nil"/>
              <w:left w:val="nil"/>
              <w:bottom w:val="single" w:sz="8" w:space="0" w:color="000000"/>
              <w:right w:val="single" w:sz="8" w:space="0" w:color="000000"/>
            </w:tcBorders>
            <w:shd w:val="clear" w:color="auto" w:fill="auto"/>
            <w:vAlign w:val="center"/>
          </w:tcPr>
          <w:p w14:paraId="66676C9C" w14:textId="36AAA697" w:rsidR="009C66E3" w:rsidRPr="009C66E3" w:rsidRDefault="000550C7" w:rsidP="009C66E3">
            <w:pPr>
              <w:spacing w:after="0"/>
              <w:jc w:val="right"/>
              <w:rPr>
                <w:rFonts w:cs="Arial"/>
              </w:rPr>
            </w:pPr>
            <w:r>
              <w:rPr>
                <w:rFonts w:cs="Arial"/>
              </w:rPr>
              <w:t>9</w:t>
            </w:r>
          </w:p>
        </w:tc>
        <w:tc>
          <w:tcPr>
            <w:tcW w:w="1084" w:type="dxa"/>
            <w:tcBorders>
              <w:top w:val="nil"/>
              <w:left w:val="nil"/>
              <w:bottom w:val="single" w:sz="8" w:space="0" w:color="000000"/>
              <w:right w:val="single" w:sz="8" w:space="0" w:color="000000"/>
            </w:tcBorders>
            <w:shd w:val="clear" w:color="auto" w:fill="auto"/>
            <w:vAlign w:val="center"/>
            <w:hideMark/>
          </w:tcPr>
          <w:p w14:paraId="28BE8858" w14:textId="59C9F91F" w:rsidR="009C66E3" w:rsidRPr="009C66E3" w:rsidRDefault="000550C7" w:rsidP="009C66E3">
            <w:pPr>
              <w:spacing w:after="0"/>
              <w:jc w:val="right"/>
              <w:rPr>
                <w:rFonts w:cs="Arial"/>
              </w:rPr>
            </w:pPr>
            <w:r>
              <w:rPr>
                <w:rFonts w:cs="Arial"/>
              </w:rPr>
              <w:t>8</w:t>
            </w:r>
          </w:p>
        </w:tc>
        <w:tc>
          <w:tcPr>
            <w:tcW w:w="1084" w:type="dxa"/>
            <w:tcBorders>
              <w:top w:val="nil"/>
              <w:left w:val="nil"/>
              <w:bottom w:val="single" w:sz="8" w:space="0" w:color="000000"/>
              <w:right w:val="single" w:sz="8" w:space="0" w:color="000000"/>
            </w:tcBorders>
            <w:shd w:val="clear" w:color="auto" w:fill="auto"/>
            <w:vAlign w:val="center"/>
            <w:hideMark/>
          </w:tcPr>
          <w:p w14:paraId="3081727C" w14:textId="3467103D" w:rsidR="009C66E3" w:rsidRPr="009C66E3" w:rsidRDefault="000550C7" w:rsidP="009C66E3">
            <w:pPr>
              <w:spacing w:after="0"/>
              <w:jc w:val="right"/>
              <w:rPr>
                <w:rFonts w:cs="Arial"/>
              </w:rPr>
            </w:pPr>
            <w:r>
              <w:rPr>
                <w:rFonts w:cs="Arial"/>
              </w:rPr>
              <w:t>10</w:t>
            </w:r>
          </w:p>
        </w:tc>
        <w:tc>
          <w:tcPr>
            <w:tcW w:w="1115" w:type="dxa"/>
            <w:tcBorders>
              <w:top w:val="nil"/>
              <w:left w:val="nil"/>
              <w:bottom w:val="single" w:sz="8" w:space="0" w:color="000000"/>
              <w:right w:val="single" w:sz="8" w:space="0" w:color="000000"/>
            </w:tcBorders>
            <w:shd w:val="clear" w:color="auto" w:fill="auto"/>
            <w:vAlign w:val="center"/>
            <w:hideMark/>
          </w:tcPr>
          <w:p w14:paraId="7111C2B4" w14:textId="7BBB316A" w:rsidR="009C66E3" w:rsidRPr="009C66E3" w:rsidRDefault="009C66E3" w:rsidP="009C66E3">
            <w:pPr>
              <w:spacing w:after="0"/>
              <w:jc w:val="right"/>
              <w:rPr>
                <w:rFonts w:cs="Arial"/>
              </w:rPr>
            </w:pPr>
            <w:r w:rsidRPr="009C66E3">
              <w:rPr>
                <w:rFonts w:cs="Arial"/>
              </w:rPr>
              <w:t>1</w:t>
            </w:r>
            <w:r w:rsidR="00BE7E79">
              <w:rPr>
                <w:rFonts w:cs="Arial"/>
              </w:rPr>
              <w:t>1</w:t>
            </w:r>
          </w:p>
        </w:tc>
      </w:tr>
      <w:tr w:rsidR="009C66E3" w:rsidRPr="009C66E3" w14:paraId="3581999A" w14:textId="77777777" w:rsidTr="008C1D8C">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08E9FE9F" w14:textId="77777777" w:rsidR="009C66E3" w:rsidRPr="009C66E3" w:rsidRDefault="009C66E3" w:rsidP="009C66E3">
            <w:pPr>
              <w:spacing w:after="0"/>
              <w:rPr>
                <w:rFonts w:cs="Arial"/>
              </w:rPr>
            </w:pPr>
            <w:r w:rsidRPr="009C66E3">
              <w:rPr>
                <w:rFonts w:cs="Arial"/>
              </w:rPr>
              <w:t>Amber</w:t>
            </w:r>
          </w:p>
        </w:tc>
        <w:tc>
          <w:tcPr>
            <w:tcW w:w="1084" w:type="dxa"/>
            <w:tcBorders>
              <w:top w:val="nil"/>
              <w:left w:val="nil"/>
              <w:bottom w:val="single" w:sz="8" w:space="0" w:color="000000"/>
              <w:right w:val="single" w:sz="8" w:space="0" w:color="000000"/>
            </w:tcBorders>
            <w:shd w:val="clear" w:color="auto" w:fill="auto"/>
            <w:vAlign w:val="center"/>
          </w:tcPr>
          <w:p w14:paraId="13D9D3C2" w14:textId="28D22E6F" w:rsidR="009C66E3" w:rsidRPr="009C66E3" w:rsidRDefault="000550C7" w:rsidP="009C66E3">
            <w:pPr>
              <w:spacing w:after="0"/>
              <w:jc w:val="right"/>
              <w:rPr>
                <w:rFonts w:cs="Arial"/>
              </w:rPr>
            </w:pPr>
            <w:r>
              <w:rPr>
                <w:rFonts w:cs="Arial"/>
              </w:rPr>
              <w:t>40</w:t>
            </w:r>
          </w:p>
        </w:tc>
        <w:tc>
          <w:tcPr>
            <w:tcW w:w="1084" w:type="dxa"/>
            <w:tcBorders>
              <w:top w:val="nil"/>
              <w:left w:val="nil"/>
              <w:bottom w:val="single" w:sz="8" w:space="0" w:color="000000"/>
              <w:right w:val="single" w:sz="8" w:space="0" w:color="000000"/>
            </w:tcBorders>
            <w:shd w:val="clear" w:color="auto" w:fill="auto"/>
            <w:vAlign w:val="center"/>
            <w:hideMark/>
          </w:tcPr>
          <w:p w14:paraId="269D8395" w14:textId="5E91292A" w:rsidR="009C66E3" w:rsidRPr="009C66E3" w:rsidRDefault="000550C7" w:rsidP="009C66E3">
            <w:pPr>
              <w:spacing w:after="0"/>
              <w:jc w:val="right"/>
              <w:rPr>
                <w:rFonts w:cs="Arial"/>
              </w:rPr>
            </w:pPr>
            <w:r>
              <w:rPr>
                <w:rFonts w:cs="Arial"/>
              </w:rPr>
              <w:t>37</w:t>
            </w:r>
          </w:p>
        </w:tc>
        <w:tc>
          <w:tcPr>
            <w:tcW w:w="1084" w:type="dxa"/>
            <w:tcBorders>
              <w:top w:val="nil"/>
              <w:left w:val="nil"/>
              <w:bottom w:val="single" w:sz="8" w:space="0" w:color="000000"/>
              <w:right w:val="single" w:sz="8" w:space="0" w:color="000000"/>
            </w:tcBorders>
            <w:shd w:val="clear" w:color="auto" w:fill="auto"/>
            <w:vAlign w:val="center"/>
            <w:hideMark/>
          </w:tcPr>
          <w:p w14:paraId="03CDB743" w14:textId="01E52945" w:rsidR="009C66E3" w:rsidRPr="009C66E3" w:rsidRDefault="000550C7" w:rsidP="009C66E3">
            <w:pPr>
              <w:spacing w:after="0"/>
              <w:jc w:val="right"/>
              <w:rPr>
                <w:rFonts w:cs="Arial"/>
              </w:rPr>
            </w:pPr>
            <w:r>
              <w:rPr>
                <w:rFonts w:cs="Arial"/>
              </w:rPr>
              <w:t>44</w:t>
            </w:r>
          </w:p>
        </w:tc>
        <w:tc>
          <w:tcPr>
            <w:tcW w:w="1115" w:type="dxa"/>
            <w:tcBorders>
              <w:top w:val="nil"/>
              <w:left w:val="nil"/>
              <w:bottom w:val="single" w:sz="8" w:space="0" w:color="000000"/>
              <w:right w:val="single" w:sz="8" w:space="0" w:color="000000"/>
            </w:tcBorders>
            <w:shd w:val="clear" w:color="auto" w:fill="auto"/>
            <w:vAlign w:val="center"/>
            <w:hideMark/>
          </w:tcPr>
          <w:p w14:paraId="05FC2770" w14:textId="5763A0CC" w:rsidR="009C66E3" w:rsidRPr="009C66E3" w:rsidRDefault="009C66E3" w:rsidP="009C66E3">
            <w:pPr>
              <w:spacing w:after="0"/>
              <w:jc w:val="right"/>
              <w:rPr>
                <w:rFonts w:cs="Arial"/>
              </w:rPr>
            </w:pPr>
            <w:r w:rsidRPr="009C66E3">
              <w:rPr>
                <w:rFonts w:cs="Arial"/>
              </w:rPr>
              <w:t>4</w:t>
            </w:r>
            <w:r w:rsidR="00BE7E79">
              <w:rPr>
                <w:rFonts w:cs="Arial"/>
              </w:rPr>
              <w:t>3</w:t>
            </w:r>
          </w:p>
        </w:tc>
      </w:tr>
      <w:tr w:rsidR="009C66E3" w:rsidRPr="009C66E3" w14:paraId="08749F65" w14:textId="77777777" w:rsidTr="008C1D8C">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47EE7F56" w14:textId="77777777" w:rsidR="009C66E3" w:rsidRPr="009C66E3" w:rsidRDefault="009C66E3" w:rsidP="009C66E3">
            <w:pPr>
              <w:spacing w:after="0"/>
              <w:rPr>
                <w:rFonts w:cs="Arial"/>
              </w:rPr>
            </w:pPr>
            <w:r w:rsidRPr="009C66E3">
              <w:rPr>
                <w:rFonts w:cs="Arial"/>
              </w:rPr>
              <w:t>Green</w:t>
            </w:r>
          </w:p>
        </w:tc>
        <w:tc>
          <w:tcPr>
            <w:tcW w:w="1084" w:type="dxa"/>
            <w:tcBorders>
              <w:top w:val="nil"/>
              <w:left w:val="nil"/>
              <w:bottom w:val="single" w:sz="8" w:space="0" w:color="000000"/>
              <w:right w:val="single" w:sz="8" w:space="0" w:color="000000"/>
            </w:tcBorders>
            <w:shd w:val="clear" w:color="auto" w:fill="auto"/>
            <w:vAlign w:val="center"/>
          </w:tcPr>
          <w:p w14:paraId="2397F0A4" w14:textId="404B464E" w:rsidR="009C66E3" w:rsidRPr="009C66E3" w:rsidRDefault="000550C7" w:rsidP="009C66E3">
            <w:pPr>
              <w:spacing w:after="0"/>
              <w:jc w:val="right"/>
              <w:rPr>
                <w:rFonts w:cs="Arial"/>
              </w:rPr>
            </w:pPr>
            <w:r>
              <w:rPr>
                <w:rFonts w:cs="Arial"/>
              </w:rPr>
              <w:t>18</w:t>
            </w:r>
          </w:p>
        </w:tc>
        <w:tc>
          <w:tcPr>
            <w:tcW w:w="1084" w:type="dxa"/>
            <w:tcBorders>
              <w:top w:val="nil"/>
              <w:left w:val="nil"/>
              <w:bottom w:val="single" w:sz="8" w:space="0" w:color="000000"/>
              <w:right w:val="single" w:sz="8" w:space="0" w:color="000000"/>
            </w:tcBorders>
            <w:shd w:val="clear" w:color="auto" w:fill="auto"/>
            <w:vAlign w:val="center"/>
            <w:hideMark/>
          </w:tcPr>
          <w:p w14:paraId="16F79AB9" w14:textId="2A276172" w:rsidR="009C66E3" w:rsidRPr="009C66E3" w:rsidRDefault="000550C7" w:rsidP="009C66E3">
            <w:pPr>
              <w:spacing w:after="0"/>
              <w:jc w:val="right"/>
              <w:rPr>
                <w:rFonts w:cs="Arial"/>
              </w:rPr>
            </w:pPr>
            <w:r>
              <w:rPr>
                <w:rFonts w:cs="Arial"/>
              </w:rPr>
              <w:t>20</w:t>
            </w:r>
          </w:p>
        </w:tc>
        <w:tc>
          <w:tcPr>
            <w:tcW w:w="1084" w:type="dxa"/>
            <w:tcBorders>
              <w:top w:val="nil"/>
              <w:left w:val="nil"/>
              <w:bottom w:val="single" w:sz="8" w:space="0" w:color="000000"/>
              <w:right w:val="single" w:sz="8" w:space="0" w:color="000000"/>
            </w:tcBorders>
            <w:shd w:val="clear" w:color="auto" w:fill="auto"/>
            <w:vAlign w:val="center"/>
            <w:hideMark/>
          </w:tcPr>
          <w:p w14:paraId="33F76833" w14:textId="43D20DE8" w:rsidR="009C66E3" w:rsidRPr="009C66E3" w:rsidRDefault="000550C7" w:rsidP="009C66E3">
            <w:pPr>
              <w:spacing w:after="0"/>
              <w:jc w:val="right"/>
              <w:rPr>
                <w:rFonts w:cs="Arial"/>
              </w:rPr>
            </w:pPr>
            <w:r>
              <w:rPr>
                <w:rFonts w:cs="Arial"/>
              </w:rPr>
              <w:t>17</w:t>
            </w:r>
          </w:p>
        </w:tc>
        <w:tc>
          <w:tcPr>
            <w:tcW w:w="1115" w:type="dxa"/>
            <w:tcBorders>
              <w:top w:val="nil"/>
              <w:left w:val="nil"/>
              <w:bottom w:val="single" w:sz="8" w:space="0" w:color="000000"/>
              <w:right w:val="single" w:sz="8" w:space="0" w:color="000000"/>
            </w:tcBorders>
            <w:shd w:val="clear" w:color="auto" w:fill="auto"/>
            <w:vAlign w:val="center"/>
            <w:hideMark/>
          </w:tcPr>
          <w:p w14:paraId="356540D3" w14:textId="6C6C5FA9" w:rsidR="009C66E3" w:rsidRPr="009C66E3" w:rsidRDefault="000550C7" w:rsidP="009C66E3">
            <w:pPr>
              <w:spacing w:after="0"/>
              <w:jc w:val="right"/>
              <w:rPr>
                <w:rFonts w:cs="Arial"/>
              </w:rPr>
            </w:pPr>
            <w:r>
              <w:rPr>
                <w:rFonts w:cs="Arial"/>
              </w:rPr>
              <w:t>2</w:t>
            </w:r>
            <w:r w:rsidR="009C66E3" w:rsidRPr="009C66E3">
              <w:rPr>
                <w:rFonts w:cs="Arial"/>
              </w:rPr>
              <w:t>7</w:t>
            </w:r>
          </w:p>
        </w:tc>
      </w:tr>
      <w:tr w:rsidR="009C66E3" w:rsidRPr="009C66E3" w14:paraId="7B4D0340" w14:textId="77777777" w:rsidTr="009C66E3">
        <w:trPr>
          <w:trHeight w:val="324"/>
        </w:trPr>
        <w:tc>
          <w:tcPr>
            <w:tcW w:w="2240" w:type="dxa"/>
            <w:tcBorders>
              <w:top w:val="nil"/>
              <w:left w:val="single" w:sz="8" w:space="0" w:color="000000"/>
              <w:bottom w:val="single" w:sz="8" w:space="0" w:color="000000"/>
              <w:right w:val="single" w:sz="8" w:space="0" w:color="000000"/>
            </w:tcBorders>
            <w:shd w:val="clear" w:color="000000" w:fill="D9D9D9"/>
            <w:noWrap/>
            <w:vAlign w:val="center"/>
            <w:hideMark/>
          </w:tcPr>
          <w:p w14:paraId="7D1396C4" w14:textId="77777777" w:rsidR="009C66E3" w:rsidRPr="009C66E3" w:rsidRDefault="009C66E3" w:rsidP="009C66E3">
            <w:pPr>
              <w:spacing w:after="0"/>
              <w:rPr>
                <w:rFonts w:cs="Arial"/>
                <w:b/>
                <w:bCs/>
              </w:rPr>
            </w:pPr>
            <w:r w:rsidRPr="009C66E3">
              <w:rPr>
                <w:rFonts w:cs="Arial"/>
                <w:b/>
                <w:bCs/>
              </w:rPr>
              <w:t>Total risks</w:t>
            </w:r>
          </w:p>
        </w:tc>
        <w:tc>
          <w:tcPr>
            <w:tcW w:w="1084" w:type="dxa"/>
            <w:tcBorders>
              <w:top w:val="nil"/>
              <w:left w:val="nil"/>
              <w:bottom w:val="single" w:sz="8" w:space="0" w:color="000000"/>
              <w:right w:val="single" w:sz="8" w:space="0" w:color="000000"/>
            </w:tcBorders>
            <w:shd w:val="clear" w:color="000000" w:fill="D9D9D9"/>
            <w:vAlign w:val="center"/>
            <w:hideMark/>
          </w:tcPr>
          <w:p w14:paraId="738BDC6E" w14:textId="149EC332" w:rsidR="009C66E3" w:rsidRPr="009C66E3" w:rsidRDefault="009C66E3" w:rsidP="009C66E3">
            <w:pPr>
              <w:spacing w:after="0"/>
              <w:jc w:val="right"/>
              <w:rPr>
                <w:rFonts w:cs="Arial"/>
                <w:b/>
                <w:bCs/>
              </w:rPr>
            </w:pPr>
            <w:r w:rsidRPr="009C66E3">
              <w:rPr>
                <w:rFonts w:cs="Arial"/>
                <w:b/>
                <w:bCs/>
              </w:rPr>
              <w:t>6</w:t>
            </w:r>
            <w:r w:rsidR="000550C7">
              <w:rPr>
                <w:rFonts w:cs="Arial"/>
                <w:b/>
                <w:bCs/>
              </w:rPr>
              <w:t>7</w:t>
            </w:r>
          </w:p>
        </w:tc>
        <w:tc>
          <w:tcPr>
            <w:tcW w:w="1084" w:type="dxa"/>
            <w:tcBorders>
              <w:top w:val="nil"/>
              <w:left w:val="nil"/>
              <w:bottom w:val="single" w:sz="8" w:space="0" w:color="000000"/>
              <w:right w:val="single" w:sz="8" w:space="0" w:color="000000"/>
            </w:tcBorders>
            <w:shd w:val="clear" w:color="000000" w:fill="D9D9D9"/>
            <w:vAlign w:val="center"/>
            <w:hideMark/>
          </w:tcPr>
          <w:p w14:paraId="57945248" w14:textId="3B8DEB57" w:rsidR="009C66E3" w:rsidRPr="009C66E3" w:rsidRDefault="009C66E3" w:rsidP="009C66E3">
            <w:pPr>
              <w:spacing w:after="0"/>
              <w:jc w:val="right"/>
              <w:rPr>
                <w:rFonts w:cs="Arial"/>
                <w:b/>
                <w:bCs/>
              </w:rPr>
            </w:pPr>
            <w:r w:rsidRPr="009C66E3">
              <w:rPr>
                <w:rFonts w:cs="Arial"/>
                <w:b/>
                <w:bCs/>
              </w:rPr>
              <w:t>6</w:t>
            </w:r>
            <w:r w:rsidR="000550C7">
              <w:rPr>
                <w:rFonts w:cs="Arial"/>
                <w:b/>
                <w:bCs/>
              </w:rPr>
              <w:t>5</w:t>
            </w:r>
          </w:p>
        </w:tc>
        <w:tc>
          <w:tcPr>
            <w:tcW w:w="1084" w:type="dxa"/>
            <w:tcBorders>
              <w:top w:val="nil"/>
              <w:left w:val="nil"/>
              <w:bottom w:val="single" w:sz="8" w:space="0" w:color="000000"/>
              <w:right w:val="single" w:sz="8" w:space="0" w:color="000000"/>
            </w:tcBorders>
            <w:shd w:val="clear" w:color="000000" w:fill="D9D9D9"/>
            <w:vAlign w:val="center"/>
            <w:hideMark/>
          </w:tcPr>
          <w:p w14:paraId="70258AC4" w14:textId="4E8A334F" w:rsidR="009C66E3" w:rsidRPr="009C66E3" w:rsidRDefault="000550C7" w:rsidP="009C66E3">
            <w:pPr>
              <w:spacing w:after="0"/>
              <w:jc w:val="right"/>
              <w:rPr>
                <w:rFonts w:cs="Arial"/>
                <w:b/>
                <w:bCs/>
              </w:rPr>
            </w:pPr>
            <w:r>
              <w:rPr>
                <w:rFonts w:cs="Arial"/>
                <w:b/>
                <w:bCs/>
              </w:rPr>
              <w:t>71</w:t>
            </w:r>
          </w:p>
        </w:tc>
        <w:tc>
          <w:tcPr>
            <w:tcW w:w="1115" w:type="dxa"/>
            <w:tcBorders>
              <w:top w:val="nil"/>
              <w:left w:val="nil"/>
              <w:bottom w:val="single" w:sz="8" w:space="0" w:color="000000"/>
              <w:right w:val="single" w:sz="8" w:space="0" w:color="000000"/>
            </w:tcBorders>
            <w:shd w:val="clear" w:color="000000" w:fill="D9D9D9"/>
            <w:vAlign w:val="center"/>
            <w:hideMark/>
          </w:tcPr>
          <w:p w14:paraId="6B496FA5" w14:textId="777ECB85" w:rsidR="009C66E3" w:rsidRPr="009C66E3" w:rsidRDefault="000550C7" w:rsidP="009C66E3">
            <w:pPr>
              <w:spacing w:after="0"/>
              <w:jc w:val="right"/>
              <w:rPr>
                <w:rFonts w:cs="Arial"/>
                <w:b/>
                <w:bCs/>
              </w:rPr>
            </w:pPr>
            <w:r>
              <w:rPr>
                <w:rFonts w:cs="Arial"/>
                <w:b/>
                <w:bCs/>
              </w:rPr>
              <w:t>8</w:t>
            </w:r>
            <w:r w:rsidR="00207B37">
              <w:rPr>
                <w:rFonts w:cs="Arial"/>
                <w:b/>
                <w:bCs/>
              </w:rPr>
              <w:t>1</w:t>
            </w:r>
          </w:p>
        </w:tc>
      </w:tr>
      <w:tr w:rsidR="00D86401" w:rsidRPr="00D86401" w14:paraId="799466BF" w14:textId="77777777" w:rsidTr="00680EBE">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5482A742" w14:textId="31C290A9" w:rsidR="009C66E3" w:rsidRPr="00D3726E" w:rsidRDefault="009C66E3" w:rsidP="009C66E3">
            <w:pPr>
              <w:spacing w:after="0"/>
              <w:rPr>
                <w:rFonts w:cs="Arial"/>
                <w:color w:val="auto"/>
              </w:rPr>
            </w:pPr>
            <w:r w:rsidRPr="00D3726E">
              <w:rPr>
                <w:rFonts w:cs="Arial"/>
                <w:color w:val="auto"/>
              </w:rPr>
              <w:t xml:space="preserve">New risks in </w:t>
            </w:r>
            <w:r w:rsidR="00207B37" w:rsidRPr="00D3726E">
              <w:rPr>
                <w:rFonts w:cs="Arial"/>
                <w:color w:val="auto"/>
              </w:rPr>
              <w:t>half year</w:t>
            </w:r>
          </w:p>
        </w:tc>
        <w:tc>
          <w:tcPr>
            <w:tcW w:w="1084" w:type="dxa"/>
            <w:tcBorders>
              <w:top w:val="nil"/>
              <w:left w:val="nil"/>
              <w:bottom w:val="single" w:sz="8" w:space="0" w:color="000000"/>
              <w:right w:val="single" w:sz="8" w:space="0" w:color="000000"/>
            </w:tcBorders>
            <w:shd w:val="clear" w:color="auto" w:fill="auto"/>
            <w:vAlign w:val="center"/>
            <w:hideMark/>
          </w:tcPr>
          <w:p w14:paraId="3357764E" w14:textId="77777777" w:rsidR="009C66E3" w:rsidRPr="00D3726E" w:rsidRDefault="009C66E3" w:rsidP="009C66E3">
            <w:pPr>
              <w:spacing w:after="0"/>
              <w:jc w:val="right"/>
              <w:rPr>
                <w:rFonts w:cs="Arial"/>
                <w:color w:val="auto"/>
              </w:rPr>
            </w:pPr>
            <w:r w:rsidRPr="00D3726E">
              <w:rPr>
                <w:rFonts w:cs="Arial"/>
                <w:color w:val="auto"/>
              </w:rPr>
              <w:t>0</w:t>
            </w:r>
          </w:p>
        </w:tc>
        <w:tc>
          <w:tcPr>
            <w:tcW w:w="1084" w:type="dxa"/>
            <w:tcBorders>
              <w:top w:val="nil"/>
              <w:left w:val="nil"/>
              <w:bottom w:val="single" w:sz="8" w:space="0" w:color="000000"/>
              <w:right w:val="single" w:sz="8" w:space="0" w:color="000000"/>
            </w:tcBorders>
            <w:shd w:val="clear" w:color="auto" w:fill="auto"/>
            <w:vAlign w:val="center"/>
            <w:hideMark/>
          </w:tcPr>
          <w:p w14:paraId="3D625452" w14:textId="77777777" w:rsidR="009C66E3" w:rsidRPr="00D3726E" w:rsidRDefault="009C66E3" w:rsidP="009C66E3">
            <w:pPr>
              <w:spacing w:after="0"/>
              <w:jc w:val="right"/>
              <w:rPr>
                <w:rFonts w:cs="Arial"/>
                <w:color w:val="auto"/>
              </w:rPr>
            </w:pPr>
            <w:r w:rsidRPr="00D3726E">
              <w:rPr>
                <w:rFonts w:cs="Arial"/>
                <w:color w:val="auto"/>
              </w:rPr>
              <w:t>4</w:t>
            </w:r>
          </w:p>
        </w:tc>
        <w:tc>
          <w:tcPr>
            <w:tcW w:w="1084" w:type="dxa"/>
            <w:tcBorders>
              <w:top w:val="nil"/>
              <w:left w:val="nil"/>
              <w:bottom w:val="single" w:sz="8" w:space="0" w:color="000000"/>
              <w:right w:val="single" w:sz="8" w:space="0" w:color="000000"/>
            </w:tcBorders>
            <w:shd w:val="clear" w:color="auto" w:fill="auto"/>
            <w:vAlign w:val="center"/>
            <w:hideMark/>
          </w:tcPr>
          <w:p w14:paraId="00499A4C" w14:textId="77777777" w:rsidR="009C66E3" w:rsidRPr="00D3726E" w:rsidRDefault="009C66E3" w:rsidP="009C66E3">
            <w:pPr>
              <w:spacing w:after="0"/>
              <w:jc w:val="right"/>
              <w:rPr>
                <w:rFonts w:cs="Arial"/>
                <w:color w:val="auto"/>
              </w:rPr>
            </w:pPr>
            <w:r w:rsidRPr="00D3726E">
              <w:rPr>
                <w:rFonts w:cs="Arial"/>
                <w:color w:val="auto"/>
              </w:rPr>
              <w:t>0</w:t>
            </w:r>
          </w:p>
        </w:tc>
        <w:tc>
          <w:tcPr>
            <w:tcW w:w="1115" w:type="dxa"/>
            <w:tcBorders>
              <w:top w:val="nil"/>
              <w:left w:val="nil"/>
              <w:bottom w:val="single" w:sz="8" w:space="0" w:color="000000"/>
              <w:right w:val="single" w:sz="8" w:space="0" w:color="000000"/>
            </w:tcBorders>
            <w:shd w:val="clear" w:color="auto" w:fill="auto"/>
            <w:vAlign w:val="center"/>
            <w:hideMark/>
          </w:tcPr>
          <w:p w14:paraId="22B0F42F" w14:textId="780D6410" w:rsidR="009C66E3" w:rsidRPr="00D3726E" w:rsidRDefault="00D3726E" w:rsidP="009C66E3">
            <w:pPr>
              <w:spacing w:after="0"/>
              <w:jc w:val="right"/>
              <w:rPr>
                <w:rFonts w:cs="Arial"/>
                <w:color w:val="auto"/>
              </w:rPr>
            </w:pPr>
            <w:r w:rsidRPr="00D3726E">
              <w:rPr>
                <w:rFonts w:cs="Arial"/>
                <w:color w:val="auto"/>
              </w:rPr>
              <w:t>10</w:t>
            </w:r>
          </w:p>
        </w:tc>
      </w:tr>
      <w:tr w:rsidR="00D86401" w:rsidRPr="00D86401" w14:paraId="71221D70" w14:textId="77777777" w:rsidTr="00680EBE">
        <w:trPr>
          <w:trHeight w:val="312"/>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4D36940A" w14:textId="77777777" w:rsidR="009C66E3" w:rsidRPr="00D3726E" w:rsidRDefault="009C66E3" w:rsidP="009C66E3">
            <w:pPr>
              <w:spacing w:after="0"/>
              <w:rPr>
                <w:rFonts w:cs="Arial"/>
                <w:color w:val="auto"/>
              </w:rPr>
            </w:pPr>
            <w:r w:rsidRPr="00D3726E">
              <w:rPr>
                <w:rFonts w:cs="Arial"/>
                <w:color w:val="auto"/>
              </w:rPr>
              <w:t>Closed</w:t>
            </w:r>
          </w:p>
        </w:tc>
        <w:tc>
          <w:tcPr>
            <w:tcW w:w="1084" w:type="dxa"/>
            <w:tcBorders>
              <w:top w:val="nil"/>
              <w:left w:val="nil"/>
              <w:bottom w:val="single" w:sz="8" w:space="0" w:color="000000"/>
              <w:right w:val="single" w:sz="8" w:space="0" w:color="000000"/>
            </w:tcBorders>
            <w:shd w:val="clear" w:color="auto" w:fill="auto"/>
            <w:vAlign w:val="center"/>
            <w:hideMark/>
          </w:tcPr>
          <w:p w14:paraId="41DA17C7" w14:textId="77777777" w:rsidR="009C66E3" w:rsidRPr="00D3726E" w:rsidRDefault="009C66E3" w:rsidP="009C66E3">
            <w:pPr>
              <w:spacing w:after="0"/>
              <w:jc w:val="right"/>
              <w:rPr>
                <w:rFonts w:cs="Arial"/>
                <w:color w:val="auto"/>
              </w:rPr>
            </w:pPr>
            <w:r w:rsidRPr="00D3726E">
              <w:rPr>
                <w:rFonts w:cs="Arial"/>
                <w:color w:val="auto"/>
              </w:rPr>
              <w:t>0</w:t>
            </w:r>
          </w:p>
        </w:tc>
        <w:tc>
          <w:tcPr>
            <w:tcW w:w="1084" w:type="dxa"/>
            <w:tcBorders>
              <w:top w:val="nil"/>
              <w:left w:val="nil"/>
              <w:bottom w:val="single" w:sz="8" w:space="0" w:color="000000"/>
              <w:right w:val="single" w:sz="8" w:space="0" w:color="000000"/>
            </w:tcBorders>
            <w:shd w:val="clear" w:color="auto" w:fill="auto"/>
            <w:vAlign w:val="center"/>
            <w:hideMark/>
          </w:tcPr>
          <w:p w14:paraId="66CF0675" w14:textId="77777777" w:rsidR="009C66E3" w:rsidRPr="00D3726E" w:rsidRDefault="009C66E3" w:rsidP="009C66E3">
            <w:pPr>
              <w:spacing w:after="0"/>
              <w:jc w:val="right"/>
              <w:rPr>
                <w:rFonts w:cs="Arial"/>
                <w:color w:val="auto"/>
              </w:rPr>
            </w:pPr>
            <w:r w:rsidRPr="00D3726E">
              <w:rPr>
                <w:rFonts w:cs="Arial"/>
                <w:color w:val="auto"/>
              </w:rPr>
              <w:t>6</w:t>
            </w:r>
          </w:p>
        </w:tc>
        <w:tc>
          <w:tcPr>
            <w:tcW w:w="1084" w:type="dxa"/>
            <w:tcBorders>
              <w:top w:val="nil"/>
              <w:left w:val="nil"/>
              <w:bottom w:val="single" w:sz="8" w:space="0" w:color="000000"/>
              <w:right w:val="single" w:sz="8" w:space="0" w:color="000000"/>
            </w:tcBorders>
            <w:shd w:val="clear" w:color="auto" w:fill="auto"/>
            <w:vAlign w:val="center"/>
            <w:hideMark/>
          </w:tcPr>
          <w:p w14:paraId="2F379630" w14:textId="77777777" w:rsidR="009C66E3" w:rsidRPr="00D3726E" w:rsidRDefault="009C66E3" w:rsidP="009C66E3">
            <w:pPr>
              <w:spacing w:after="0"/>
              <w:jc w:val="right"/>
              <w:rPr>
                <w:rFonts w:cs="Arial"/>
                <w:color w:val="auto"/>
              </w:rPr>
            </w:pPr>
            <w:r w:rsidRPr="00D3726E">
              <w:rPr>
                <w:rFonts w:cs="Arial"/>
                <w:color w:val="auto"/>
              </w:rPr>
              <w:t>2</w:t>
            </w:r>
          </w:p>
        </w:tc>
        <w:tc>
          <w:tcPr>
            <w:tcW w:w="1115" w:type="dxa"/>
            <w:tcBorders>
              <w:top w:val="nil"/>
              <w:left w:val="nil"/>
              <w:bottom w:val="single" w:sz="8" w:space="0" w:color="000000"/>
              <w:right w:val="single" w:sz="8" w:space="0" w:color="000000"/>
            </w:tcBorders>
            <w:shd w:val="clear" w:color="auto" w:fill="auto"/>
            <w:vAlign w:val="center"/>
            <w:hideMark/>
          </w:tcPr>
          <w:p w14:paraId="0289878F" w14:textId="77777777" w:rsidR="009C66E3" w:rsidRPr="00D3726E" w:rsidRDefault="009C66E3" w:rsidP="009C66E3">
            <w:pPr>
              <w:spacing w:after="0"/>
              <w:jc w:val="right"/>
              <w:rPr>
                <w:rFonts w:cs="Arial"/>
                <w:color w:val="auto"/>
              </w:rPr>
            </w:pPr>
            <w:r w:rsidRPr="00D3726E">
              <w:rPr>
                <w:rFonts w:cs="Arial"/>
                <w:color w:val="auto"/>
              </w:rPr>
              <w:t>0</w:t>
            </w:r>
          </w:p>
        </w:tc>
      </w:tr>
    </w:tbl>
    <w:p w14:paraId="599369C9" w14:textId="77777777" w:rsidR="00B5553F" w:rsidRPr="003A0DC8" w:rsidRDefault="00B5553F" w:rsidP="002A68B2">
      <w:pPr>
        <w:rPr>
          <w:rFonts w:cs="Arial"/>
          <w:color w:val="00B050"/>
        </w:rPr>
      </w:pPr>
    </w:p>
    <w:p w14:paraId="7D634EA8" w14:textId="03A33331" w:rsidR="002A68B2" w:rsidRPr="008A4344" w:rsidRDefault="002A68B2" w:rsidP="008A4344">
      <w:pPr>
        <w:pStyle w:val="bParagraphtext"/>
        <w:rPr>
          <w:bCs/>
        </w:rPr>
      </w:pPr>
      <w:r w:rsidRPr="008A4344">
        <w:rPr>
          <w:bCs/>
        </w:rPr>
        <w:t>Details of the Red risks are as follows:</w:t>
      </w:r>
    </w:p>
    <w:p w14:paraId="5DB4171D" w14:textId="5CA890AA" w:rsidR="00697D44" w:rsidRDefault="00697D44" w:rsidP="00680EBE">
      <w:pPr>
        <w:pStyle w:val="bParagraphtext"/>
        <w:numPr>
          <w:ilvl w:val="0"/>
          <w:numId w:val="0"/>
        </w:numPr>
        <w:tabs>
          <w:tab w:val="clear" w:pos="426"/>
        </w:tabs>
        <w:ind w:left="568"/>
        <w:rPr>
          <w:b/>
          <w:bCs/>
        </w:rPr>
      </w:pPr>
      <w:r>
        <w:rPr>
          <w:b/>
          <w:bCs/>
        </w:rPr>
        <w:lastRenderedPageBreak/>
        <w:t>Risks moved from amber to red</w:t>
      </w:r>
    </w:p>
    <w:p w14:paraId="3086B662" w14:textId="5EE14F08" w:rsidR="0035284C" w:rsidRPr="007D6D19" w:rsidRDefault="00A34C04" w:rsidP="007D6D19">
      <w:pPr>
        <w:pStyle w:val="Bulletpoints"/>
        <w:numPr>
          <w:ilvl w:val="0"/>
          <w:numId w:val="44"/>
        </w:numPr>
        <w:rPr>
          <w:rFonts w:cs="Arial"/>
          <w:b/>
          <w:bCs/>
          <w:shd w:val="clear" w:color="auto" w:fill="FFFFFF"/>
        </w:rPr>
      </w:pPr>
      <w:r w:rsidRPr="007D6D19">
        <w:rPr>
          <w:rFonts w:cs="Arial"/>
          <w:b/>
          <w:bCs/>
          <w:shd w:val="clear" w:color="auto" w:fill="FFFFFF"/>
        </w:rPr>
        <w:t xml:space="preserve">SRR–017-LG – </w:t>
      </w:r>
      <w:r w:rsidR="0035284C" w:rsidRPr="007D6D19">
        <w:rPr>
          <w:rFonts w:cs="Arial"/>
          <w:b/>
          <w:bCs/>
          <w:shd w:val="clear" w:color="auto" w:fill="FFFFFF"/>
        </w:rPr>
        <w:t>L</w:t>
      </w:r>
      <w:r w:rsidR="0006292C" w:rsidRPr="007D6D19">
        <w:rPr>
          <w:rFonts w:cs="Arial"/>
          <w:b/>
          <w:bCs/>
          <w:shd w:val="clear" w:color="auto" w:fill="FFFFFF"/>
        </w:rPr>
        <w:t>aw</w:t>
      </w:r>
      <w:r w:rsidR="0035284C" w:rsidRPr="007D6D19">
        <w:rPr>
          <w:rFonts w:cs="Arial"/>
          <w:b/>
          <w:bCs/>
          <w:shd w:val="clear" w:color="auto" w:fill="FFFFFF"/>
        </w:rPr>
        <w:t xml:space="preserve"> and Governance</w:t>
      </w:r>
    </w:p>
    <w:p w14:paraId="7827EA6F" w14:textId="5FA4B422" w:rsidR="003A0DC8" w:rsidRPr="004D6FEB" w:rsidRDefault="00A34C04" w:rsidP="004D6FEB">
      <w:pPr>
        <w:pStyle w:val="Bulletpoints"/>
        <w:ind w:left="720"/>
        <w:rPr>
          <w:rFonts w:cs="Arial"/>
          <w:shd w:val="clear" w:color="auto" w:fill="FFFFFF"/>
        </w:rPr>
      </w:pPr>
      <w:r w:rsidRPr="004D6FEB">
        <w:rPr>
          <w:rFonts w:cs="Arial"/>
          <w:shd w:val="clear" w:color="auto" w:fill="FFFFFF"/>
        </w:rPr>
        <w:t xml:space="preserve">Income target not achieved – </w:t>
      </w:r>
      <w:r w:rsidR="00241C5F" w:rsidRPr="004D6FEB">
        <w:rPr>
          <w:rFonts w:cs="Arial"/>
          <w:shd w:val="clear" w:color="auto" w:fill="FFFFFF"/>
        </w:rPr>
        <w:t>A f</w:t>
      </w:r>
      <w:r w:rsidRPr="004D6FEB">
        <w:rPr>
          <w:rFonts w:cs="Arial"/>
          <w:shd w:val="clear" w:color="auto" w:fill="FFFFFF"/>
        </w:rPr>
        <w:t>ailure to secure external work causes income targets not to be achieved</w:t>
      </w:r>
      <w:r w:rsidR="008E4BF9" w:rsidRPr="004D6FEB">
        <w:rPr>
          <w:rFonts w:cs="Arial"/>
          <w:shd w:val="clear" w:color="auto" w:fill="FFFFFF"/>
        </w:rPr>
        <w:t>,</w:t>
      </w:r>
      <w:r w:rsidRPr="004D6FEB">
        <w:rPr>
          <w:rFonts w:cs="Arial"/>
          <w:shd w:val="clear" w:color="auto" w:fill="FFFFFF"/>
        </w:rPr>
        <w:t xml:space="preserve"> resulting in budgetary pressure.</w:t>
      </w:r>
    </w:p>
    <w:p w14:paraId="240ABA55" w14:textId="77777777" w:rsidR="0006292C" w:rsidRDefault="0006292C" w:rsidP="00680EBE">
      <w:pPr>
        <w:ind w:left="568"/>
        <w:rPr>
          <w:b/>
          <w:bCs/>
        </w:rPr>
      </w:pPr>
    </w:p>
    <w:p w14:paraId="1074E126" w14:textId="012DA999" w:rsidR="00680EBE" w:rsidRDefault="00680EBE" w:rsidP="00680EBE">
      <w:pPr>
        <w:ind w:left="568"/>
      </w:pPr>
      <w:r>
        <w:rPr>
          <w:b/>
          <w:bCs/>
        </w:rPr>
        <w:t>Risk mov</w:t>
      </w:r>
      <w:r w:rsidR="00B26519">
        <w:rPr>
          <w:b/>
          <w:bCs/>
        </w:rPr>
        <w:t>ed</w:t>
      </w:r>
      <w:r>
        <w:rPr>
          <w:b/>
          <w:bCs/>
        </w:rPr>
        <w:t xml:space="preserve"> from green to red</w:t>
      </w:r>
    </w:p>
    <w:p w14:paraId="39BC204C" w14:textId="77777777" w:rsidR="0006292C" w:rsidRPr="007D6D19" w:rsidRDefault="00A34C04" w:rsidP="007D6D19">
      <w:pPr>
        <w:pStyle w:val="Bulletpoints"/>
        <w:numPr>
          <w:ilvl w:val="0"/>
          <w:numId w:val="44"/>
        </w:numPr>
        <w:rPr>
          <w:rFonts w:cs="Arial"/>
          <w:b/>
          <w:bCs/>
          <w:shd w:val="clear" w:color="auto" w:fill="FFFFFF"/>
        </w:rPr>
      </w:pPr>
      <w:r w:rsidRPr="007D6D19">
        <w:rPr>
          <w:rFonts w:cs="Arial"/>
          <w:b/>
          <w:bCs/>
          <w:shd w:val="clear" w:color="auto" w:fill="FFFFFF"/>
        </w:rPr>
        <w:t xml:space="preserve">SRR-006-LG – </w:t>
      </w:r>
      <w:r w:rsidR="0006292C" w:rsidRPr="007D6D19">
        <w:rPr>
          <w:rFonts w:cs="Arial"/>
          <w:b/>
          <w:bCs/>
          <w:shd w:val="clear" w:color="auto" w:fill="FFFFFF"/>
        </w:rPr>
        <w:t xml:space="preserve">Law and Governance </w:t>
      </w:r>
    </w:p>
    <w:p w14:paraId="1D36AD31" w14:textId="0E20F7B5" w:rsidR="00A34C04" w:rsidRPr="00EF699F" w:rsidRDefault="00241C5F" w:rsidP="00EF699F">
      <w:pPr>
        <w:pStyle w:val="Bulletpoints"/>
        <w:ind w:left="720"/>
        <w:rPr>
          <w:rFonts w:cs="Arial"/>
          <w:shd w:val="clear" w:color="auto" w:fill="FFFFFF"/>
        </w:rPr>
      </w:pPr>
      <w:r w:rsidRPr="00EF699F">
        <w:rPr>
          <w:rFonts w:cs="Arial"/>
          <w:shd w:val="clear" w:color="auto" w:fill="FFFFFF"/>
        </w:rPr>
        <w:t>Resilience</w:t>
      </w:r>
      <w:r w:rsidR="0006292C" w:rsidRPr="00EF699F">
        <w:rPr>
          <w:rFonts w:cs="Arial"/>
          <w:shd w:val="clear" w:color="auto" w:fill="FFFFFF"/>
        </w:rPr>
        <w:t xml:space="preserve"> of service - </w:t>
      </w:r>
      <w:r w:rsidRPr="00EF699F">
        <w:rPr>
          <w:rFonts w:cs="Arial"/>
          <w:shd w:val="clear" w:color="auto" w:fill="FFFFFF"/>
        </w:rPr>
        <w:t>Failure</w:t>
      </w:r>
      <w:r w:rsidR="00A34C04" w:rsidRPr="00EF699F">
        <w:rPr>
          <w:rFonts w:cs="Arial"/>
          <w:shd w:val="clear" w:color="auto" w:fill="FFFFFF"/>
        </w:rPr>
        <w:t xml:space="preserve"> to </w:t>
      </w:r>
      <w:r w:rsidRPr="00EF699F">
        <w:rPr>
          <w:rFonts w:cs="Arial"/>
          <w:shd w:val="clear" w:color="auto" w:fill="FFFFFF"/>
        </w:rPr>
        <w:t xml:space="preserve">retain and recruit lawyers to permanent posts leads to an inability to </w:t>
      </w:r>
      <w:r w:rsidR="00A34C04" w:rsidRPr="00EF699F">
        <w:rPr>
          <w:rFonts w:cs="Arial"/>
          <w:shd w:val="clear" w:color="auto" w:fill="FFFFFF"/>
        </w:rPr>
        <w:t>effectively deliver services required by the Council to support statutory and non-statutory functions</w:t>
      </w:r>
      <w:r w:rsidR="00AB5B5D" w:rsidRPr="00EF699F">
        <w:rPr>
          <w:rFonts w:cs="Arial"/>
          <w:shd w:val="clear" w:color="auto" w:fill="FFFFFF"/>
        </w:rPr>
        <w:t xml:space="preserve">.  This may </w:t>
      </w:r>
      <w:r w:rsidRPr="00EF699F">
        <w:rPr>
          <w:rFonts w:cs="Arial"/>
          <w:shd w:val="clear" w:color="auto" w:fill="FFFFFF"/>
        </w:rPr>
        <w:t xml:space="preserve">result in </w:t>
      </w:r>
      <w:r w:rsidR="00A34C04" w:rsidRPr="00EF699F">
        <w:rPr>
          <w:rFonts w:cs="Arial"/>
          <w:shd w:val="clear" w:color="auto" w:fill="FFFFFF"/>
        </w:rPr>
        <w:t xml:space="preserve">a direct </w:t>
      </w:r>
      <w:r w:rsidR="009263D0" w:rsidRPr="00EF699F">
        <w:rPr>
          <w:rFonts w:cs="Arial"/>
          <w:shd w:val="clear" w:color="auto" w:fill="FFFFFF"/>
        </w:rPr>
        <w:t xml:space="preserve">negative </w:t>
      </w:r>
      <w:r w:rsidR="00A34C04" w:rsidRPr="00EF699F">
        <w:rPr>
          <w:rFonts w:cs="Arial"/>
          <w:shd w:val="clear" w:color="auto" w:fill="FFFFFF"/>
        </w:rPr>
        <w:t>impact on risk</w:t>
      </w:r>
      <w:r w:rsidR="00AB5B5D" w:rsidRPr="00EF699F">
        <w:rPr>
          <w:rFonts w:cs="Arial"/>
          <w:shd w:val="clear" w:color="auto" w:fill="FFFFFF"/>
        </w:rPr>
        <w:t xml:space="preserve"> and</w:t>
      </w:r>
      <w:r w:rsidR="00A34C04" w:rsidRPr="00EF699F">
        <w:rPr>
          <w:rFonts w:cs="Arial"/>
          <w:shd w:val="clear" w:color="auto" w:fill="FFFFFF"/>
        </w:rPr>
        <w:t xml:space="preserve"> compliance and </w:t>
      </w:r>
      <w:r w:rsidR="00AB5B5D" w:rsidRPr="00EF699F">
        <w:rPr>
          <w:rFonts w:cs="Arial"/>
          <w:shd w:val="clear" w:color="auto" w:fill="FFFFFF"/>
        </w:rPr>
        <w:t xml:space="preserve">cause </w:t>
      </w:r>
      <w:r w:rsidRPr="00EF699F">
        <w:rPr>
          <w:rFonts w:cs="Arial"/>
          <w:shd w:val="clear" w:color="auto" w:fill="FFFFFF"/>
        </w:rPr>
        <w:t xml:space="preserve">reputational damage, adverse </w:t>
      </w:r>
      <w:r w:rsidR="008E4BF9" w:rsidRPr="00EF699F">
        <w:rPr>
          <w:rFonts w:cs="Arial"/>
          <w:shd w:val="clear" w:color="auto" w:fill="FFFFFF"/>
        </w:rPr>
        <w:t>costs,</w:t>
      </w:r>
      <w:r w:rsidRPr="00EF699F">
        <w:rPr>
          <w:rFonts w:cs="Arial"/>
          <w:shd w:val="clear" w:color="auto" w:fill="FFFFFF"/>
        </w:rPr>
        <w:t xml:space="preserve"> and greater reliance on expensive external services</w:t>
      </w:r>
      <w:r w:rsidR="00A34C04" w:rsidRPr="00EF699F">
        <w:rPr>
          <w:rFonts w:cs="Arial"/>
          <w:shd w:val="clear" w:color="auto" w:fill="FFFFFF"/>
        </w:rPr>
        <w:t>.</w:t>
      </w:r>
    </w:p>
    <w:p w14:paraId="3D9D6265" w14:textId="77777777" w:rsidR="00A34C04" w:rsidRPr="003A0DC8" w:rsidRDefault="00A34C04" w:rsidP="00A34C04">
      <w:pPr>
        <w:ind w:left="928"/>
        <w:rPr>
          <w:color w:val="FF0000"/>
        </w:rPr>
      </w:pPr>
    </w:p>
    <w:p w14:paraId="3A77CC1B" w14:textId="77777777" w:rsidR="00680EBE" w:rsidRDefault="00680EBE" w:rsidP="00680EBE">
      <w:pPr>
        <w:pStyle w:val="bParagraphtext"/>
        <w:numPr>
          <w:ilvl w:val="0"/>
          <w:numId w:val="0"/>
        </w:numPr>
        <w:tabs>
          <w:tab w:val="clear" w:pos="426"/>
        </w:tabs>
        <w:ind w:left="720"/>
        <w:rPr>
          <w:b/>
          <w:bCs/>
        </w:rPr>
      </w:pPr>
      <w:r w:rsidRPr="00680EBE">
        <w:rPr>
          <w:b/>
          <w:bCs/>
        </w:rPr>
        <w:t>Risks Continuing to be red</w:t>
      </w:r>
      <w:bookmarkStart w:id="0" w:name="_Hlk153553490"/>
    </w:p>
    <w:p w14:paraId="1DBF1726" w14:textId="77777777" w:rsidR="00A85798" w:rsidRPr="005B39EE" w:rsidRDefault="0081751B"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SRR-006-CP </w:t>
      </w:r>
      <w:r w:rsidR="00A85798" w:rsidRPr="005B39EE">
        <w:rPr>
          <w:rFonts w:cs="Arial"/>
          <w:b/>
          <w:bCs/>
          <w:shd w:val="clear" w:color="auto" w:fill="FFFFFF"/>
        </w:rPr>
        <w:t>– Corporate Property and Assets</w:t>
      </w:r>
    </w:p>
    <w:p w14:paraId="19BF3B0A" w14:textId="4E769EEA" w:rsidR="00D86401" w:rsidRPr="00EF699F" w:rsidRDefault="00D02A09" w:rsidP="00EF699F">
      <w:pPr>
        <w:pStyle w:val="Bulletpoints"/>
        <w:ind w:left="720"/>
        <w:rPr>
          <w:rFonts w:cs="Arial"/>
          <w:shd w:val="clear" w:color="auto" w:fill="FFFFFF"/>
        </w:rPr>
      </w:pPr>
      <w:r w:rsidRPr="00EF699F">
        <w:rPr>
          <w:rFonts w:cs="Arial"/>
          <w:shd w:val="clear" w:color="auto" w:fill="FFFFFF"/>
        </w:rPr>
        <w:t>Quality of data and property knowledge</w:t>
      </w:r>
      <w:r w:rsidR="00D86401" w:rsidRPr="00EF699F">
        <w:rPr>
          <w:rFonts w:cs="Arial"/>
          <w:shd w:val="clear" w:color="auto" w:fill="FFFFFF"/>
        </w:rPr>
        <w:t xml:space="preserve"> – </w:t>
      </w:r>
      <w:r w:rsidR="00DE17FE" w:rsidRPr="00EF699F">
        <w:rPr>
          <w:rFonts w:cs="Arial"/>
          <w:shd w:val="clear" w:color="auto" w:fill="FFFFFF"/>
        </w:rPr>
        <w:t>If the Council does not implement an asset management system to store and analyse data it will be unable to plan or programme work in a timely fashion resulting in delays to the letting of properties, providing insurance information</w:t>
      </w:r>
      <w:r w:rsidR="008E4BF9" w:rsidRPr="00EF699F">
        <w:rPr>
          <w:rFonts w:cs="Arial"/>
          <w:shd w:val="clear" w:color="auto" w:fill="FFFFFF"/>
        </w:rPr>
        <w:t>,</w:t>
      </w:r>
      <w:r w:rsidR="00DE17FE" w:rsidRPr="00EF699F">
        <w:rPr>
          <w:rFonts w:cs="Arial"/>
          <w:shd w:val="clear" w:color="auto" w:fill="FFFFFF"/>
        </w:rPr>
        <w:t xml:space="preserve"> and potential </w:t>
      </w:r>
      <w:r w:rsidR="00A85798" w:rsidRPr="00EF699F">
        <w:rPr>
          <w:rFonts w:cs="Arial"/>
          <w:shd w:val="clear" w:color="auto" w:fill="FFFFFF"/>
        </w:rPr>
        <w:t>non-compliance</w:t>
      </w:r>
      <w:r w:rsidR="00B70062" w:rsidRPr="00EF699F">
        <w:rPr>
          <w:rFonts w:cs="Arial"/>
          <w:shd w:val="clear" w:color="auto" w:fill="FFFFFF"/>
        </w:rPr>
        <w:t>s</w:t>
      </w:r>
      <w:r w:rsidR="00DE17FE" w:rsidRPr="00EF699F">
        <w:rPr>
          <w:rFonts w:cs="Arial"/>
          <w:shd w:val="clear" w:color="auto" w:fill="FFFFFF"/>
        </w:rPr>
        <w:t xml:space="preserve">.  </w:t>
      </w:r>
    </w:p>
    <w:p w14:paraId="4AB92016" w14:textId="5A5AB78E" w:rsidR="00A85798" w:rsidRPr="005B39EE" w:rsidRDefault="0081751B"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SRR-001-CA </w:t>
      </w:r>
      <w:r w:rsidR="00A85798" w:rsidRPr="005B39EE">
        <w:rPr>
          <w:rFonts w:cs="Arial"/>
          <w:b/>
          <w:bCs/>
          <w:shd w:val="clear" w:color="auto" w:fill="FFFFFF"/>
        </w:rPr>
        <w:t>– Corporate Property and Assets</w:t>
      </w:r>
    </w:p>
    <w:p w14:paraId="34AD9631" w14:textId="47144419" w:rsidR="00D86401" w:rsidRPr="00EF699F" w:rsidRDefault="00D02A09" w:rsidP="00EF699F">
      <w:pPr>
        <w:pStyle w:val="Bulletpoints"/>
        <w:ind w:left="720"/>
        <w:rPr>
          <w:rFonts w:cs="Arial"/>
          <w:shd w:val="clear" w:color="auto" w:fill="FFFFFF"/>
        </w:rPr>
      </w:pPr>
      <w:r w:rsidRPr="00EF699F">
        <w:rPr>
          <w:rFonts w:cs="Arial"/>
          <w:shd w:val="clear" w:color="auto" w:fill="FFFFFF"/>
        </w:rPr>
        <w:t xml:space="preserve">Staff recruitment and </w:t>
      </w:r>
      <w:r w:rsidR="00A85798" w:rsidRPr="00EF699F">
        <w:rPr>
          <w:rFonts w:cs="Arial"/>
          <w:shd w:val="clear" w:color="auto" w:fill="FFFFFF"/>
        </w:rPr>
        <w:t>retention</w:t>
      </w:r>
      <w:r w:rsidR="00D86401" w:rsidRPr="00EF699F">
        <w:rPr>
          <w:rFonts w:cs="Arial"/>
          <w:shd w:val="clear" w:color="auto" w:fill="FFFFFF"/>
        </w:rPr>
        <w:t xml:space="preserve"> – </w:t>
      </w:r>
      <w:r w:rsidR="00DE3DFA" w:rsidRPr="00EF699F">
        <w:rPr>
          <w:rFonts w:cs="Arial"/>
          <w:shd w:val="clear" w:color="auto" w:fill="FFFFFF"/>
        </w:rPr>
        <w:t>If terms and conditions of employment are not sufficiently attractive to attract permanent staff</w:t>
      </w:r>
      <w:r w:rsidR="00B70062" w:rsidRPr="00EF699F">
        <w:rPr>
          <w:rFonts w:cs="Arial"/>
          <w:shd w:val="clear" w:color="auto" w:fill="FFFFFF"/>
        </w:rPr>
        <w:t>,</w:t>
      </w:r>
      <w:r w:rsidR="00DE3DFA" w:rsidRPr="00EF699F">
        <w:rPr>
          <w:rFonts w:cs="Arial"/>
          <w:shd w:val="clear" w:color="auto" w:fill="FFFFFF"/>
        </w:rPr>
        <w:t xml:space="preserve"> the Council will not have the </w:t>
      </w:r>
      <w:r w:rsidR="00A85798" w:rsidRPr="00EF699F">
        <w:rPr>
          <w:rFonts w:cs="Arial"/>
          <w:shd w:val="clear" w:color="auto" w:fill="FFFFFF"/>
        </w:rPr>
        <w:t xml:space="preserve">necessary </w:t>
      </w:r>
      <w:r w:rsidR="00DE3DFA" w:rsidRPr="00EF699F">
        <w:rPr>
          <w:rFonts w:cs="Arial"/>
          <w:shd w:val="clear" w:color="auto" w:fill="FFFFFF"/>
        </w:rPr>
        <w:t xml:space="preserve">skills and </w:t>
      </w:r>
      <w:r w:rsidR="00A85798" w:rsidRPr="00EF699F">
        <w:rPr>
          <w:rFonts w:cs="Arial"/>
          <w:shd w:val="clear" w:color="auto" w:fill="FFFFFF"/>
        </w:rPr>
        <w:t>capacity</w:t>
      </w:r>
      <w:r w:rsidR="00DE3DFA" w:rsidRPr="00EF699F">
        <w:rPr>
          <w:rFonts w:cs="Arial"/>
          <w:shd w:val="clear" w:color="auto" w:fill="FFFFFF"/>
        </w:rPr>
        <w:t xml:space="preserve"> and will be unable to deliver required work programmes. </w:t>
      </w:r>
    </w:p>
    <w:p w14:paraId="6492BF4D" w14:textId="7B40C596" w:rsidR="00A85798" w:rsidRPr="005B39EE" w:rsidRDefault="0081751B"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SRR-003-CP </w:t>
      </w:r>
      <w:r w:rsidR="00A85798" w:rsidRPr="005B39EE">
        <w:rPr>
          <w:rFonts w:cs="Arial"/>
          <w:b/>
          <w:bCs/>
          <w:shd w:val="clear" w:color="auto" w:fill="FFFFFF"/>
        </w:rPr>
        <w:t>– Corporate Property and Assets</w:t>
      </w:r>
    </w:p>
    <w:p w14:paraId="4B1F204F" w14:textId="1C65A106" w:rsidR="00D02A09" w:rsidRPr="00EF699F" w:rsidRDefault="00D02A09" w:rsidP="00EF699F">
      <w:pPr>
        <w:pStyle w:val="Bulletpoints"/>
        <w:ind w:left="720"/>
        <w:rPr>
          <w:rFonts w:cs="Arial"/>
          <w:shd w:val="clear" w:color="auto" w:fill="FFFFFF"/>
        </w:rPr>
      </w:pPr>
      <w:r w:rsidRPr="00EF699F">
        <w:rPr>
          <w:rFonts w:cs="Arial"/>
          <w:shd w:val="clear" w:color="auto" w:fill="FFFFFF"/>
        </w:rPr>
        <w:t>Income Reduction Due to Condition of Properties</w:t>
      </w:r>
      <w:r w:rsidR="00D86401" w:rsidRPr="00EF699F">
        <w:rPr>
          <w:rFonts w:cs="Arial"/>
          <w:shd w:val="clear" w:color="auto" w:fill="FFFFFF"/>
        </w:rPr>
        <w:t xml:space="preserve"> – </w:t>
      </w:r>
      <w:r w:rsidRPr="00EF699F">
        <w:rPr>
          <w:rFonts w:cs="Arial"/>
          <w:shd w:val="clear" w:color="auto" w:fill="FFFFFF"/>
        </w:rPr>
        <w:t xml:space="preserve">If properties are returned in poor condition there will be a delay </w:t>
      </w:r>
      <w:r w:rsidR="00A85798" w:rsidRPr="00EF699F">
        <w:rPr>
          <w:rFonts w:cs="Arial"/>
          <w:shd w:val="clear" w:color="auto" w:fill="FFFFFF"/>
        </w:rPr>
        <w:t xml:space="preserve">in reletting </w:t>
      </w:r>
      <w:r w:rsidR="00B70062" w:rsidRPr="00EF699F">
        <w:rPr>
          <w:rFonts w:cs="Arial"/>
          <w:shd w:val="clear" w:color="auto" w:fill="FFFFFF"/>
        </w:rPr>
        <w:t>them</w:t>
      </w:r>
      <w:r w:rsidR="00A85798" w:rsidRPr="00EF699F">
        <w:rPr>
          <w:rFonts w:cs="Arial"/>
          <w:shd w:val="clear" w:color="auto" w:fill="FFFFFF"/>
        </w:rPr>
        <w:t xml:space="preserve"> </w:t>
      </w:r>
      <w:r w:rsidRPr="00EF699F">
        <w:rPr>
          <w:rFonts w:cs="Arial"/>
          <w:shd w:val="clear" w:color="auto" w:fill="FFFFFF"/>
        </w:rPr>
        <w:t xml:space="preserve">or the council will be unable to let </w:t>
      </w:r>
      <w:r w:rsidR="00B70062" w:rsidRPr="00EF699F">
        <w:rPr>
          <w:rFonts w:cs="Arial"/>
          <w:shd w:val="clear" w:color="auto" w:fill="FFFFFF"/>
        </w:rPr>
        <w:t>them,</w:t>
      </w:r>
      <w:r w:rsidRPr="00EF699F">
        <w:rPr>
          <w:rFonts w:cs="Arial"/>
          <w:shd w:val="clear" w:color="auto" w:fill="FFFFFF"/>
        </w:rPr>
        <w:t xml:space="preserve"> resulting in reduced or delayed rental payments and increased budget pressures.</w:t>
      </w:r>
    </w:p>
    <w:p w14:paraId="05CA4E3E" w14:textId="77777777" w:rsidR="002957CB" w:rsidRPr="005B39EE" w:rsidRDefault="0081751B"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SRR-014-HC </w:t>
      </w:r>
      <w:r w:rsidR="002957CB" w:rsidRPr="005B39EE">
        <w:rPr>
          <w:rFonts w:cs="Arial"/>
          <w:b/>
          <w:bCs/>
          <w:shd w:val="clear" w:color="auto" w:fill="FFFFFF"/>
        </w:rPr>
        <w:t xml:space="preserve">- </w:t>
      </w:r>
      <w:r w:rsidR="00191F47" w:rsidRPr="005B39EE">
        <w:rPr>
          <w:rFonts w:cs="Arial"/>
          <w:b/>
          <w:bCs/>
          <w:shd w:val="clear" w:color="auto" w:fill="FFFFFF"/>
        </w:rPr>
        <w:t xml:space="preserve">Housing Services </w:t>
      </w:r>
    </w:p>
    <w:p w14:paraId="33336C86" w14:textId="4BC85152" w:rsidR="00191F47" w:rsidRPr="00EF699F" w:rsidRDefault="00D02A09" w:rsidP="00EF699F">
      <w:pPr>
        <w:pStyle w:val="Bulletpoints"/>
        <w:ind w:left="720"/>
        <w:rPr>
          <w:rFonts w:cs="Arial"/>
          <w:shd w:val="clear" w:color="auto" w:fill="FFFFFF"/>
        </w:rPr>
      </w:pPr>
      <w:r w:rsidRPr="00EF699F">
        <w:rPr>
          <w:rFonts w:cs="Arial"/>
          <w:shd w:val="clear" w:color="auto" w:fill="FFFFFF"/>
        </w:rPr>
        <w:t>Delivery failure of the Adult Homeless Pathway Transformation programme</w:t>
      </w:r>
      <w:r w:rsidR="008E4BF9" w:rsidRPr="00EF699F">
        <w:rPr>
          <w:rFonts w:cs="Arial"/>
          <w:shd w:val="clear" w:color="auto" w:fill="FFFFFF"/>
        </w:rPr>
        <w:t xml:space="preserve"> - </w:t>
      </w:r>
      <w:r w:rsidR="002957CB" w:rsidRPr="00EF699F">
        <w:rPr>
          <w:rFonts w:cs="Arial"/>
          <w:shd w:val="clear" w:color="auto" w:fill="FFFFFF"/>
        </w:rPr>
        <w:t xml:space="preserve">If the </w:t>
      </w:r>
      <w:r w:rsidR="00F73DEB">
        <w:rPr>
          <w:rFonts w:cs="Arial"/>
          <w:shd w:val="clear" w:color="auto" w:fill="FFFFFF"/>
        </w:rPr>
        <w:t>p</w:t>
      </w:r>
      <w:r w:rsidR="002957CB" w:rsidRPr="00EF699F">
        <w:rPr>
          <w:rFonts w:cs="Arial"/>
          <w:shd w:val="clear" w:color="auto" w:fill="FFFFFF"/>
        </w:rPr>
        <w:t xml:space="preserve">rogramme is not delivered on time to provide sufficient </w:t>
      </w:r>
      <w:proofErr w:type="gramStart"/>
      <w:r w:rsidR="002957CB" w:rsidRPr="00EF699F">
        <w:rPr>
          <w:rFonts w:cs="Arial"/>
          <w:shd w:val="clear" w:color="auto" w:fill="FFFFFF"/>
        </w:rPr>
        <w:t>good quality</w:t>
      </w:r>
      <w:proofErr w:type="gramEnd"/>
      <w:r w:rsidR="002957CB" w:rsidRPr="00EF699F">
        <w:rPr>
          <w:rFonts w:cs="Arial"/>
          <w:shd w:val="clear" w:color="auto" w:fill="FFFFFF"/>
        </w:rPr>
        <w:t xml:space="preserve"> </w:t>
      </w:r>
      <w:r w:rsidR="00DF3BA7" w:rsidRPr="00EF699F">
        <w:rPr>
          <w:rFonts w:cs="Arial"/>
          <w:shd w:val="clear" w:color="auto" w:fill="FFFFFF"/>
        </w:rPr>
        <w:t>reprofiled services</w:t>
      </w:r>
      <w:r w:rsidR="00F73DEB">
        <w:rPr>
          <w:rFonts w:cs="Arial"/>
          <w:shd w:val="clear" w:color="auto" w:fill="FFFFFF"/>
        </w:rPr>
        <w:t>,</w:t>
      </w:r>
      <w:r w:rsidR="00DF3BA7" w:rsidRPr="00EF699F">
        <w:rPr>
          <w:rFonts w:cs="Arial"/>
          <w:shd w:val="clear" w:color="auto" w:fill="FFFFFF"/>
        </w:rPr>
        <w:t xml:space="preserve"> there will be more rough sleepers and homelessness presentations, resulting in increased costs to the Council.</w:t>
      </w:r>
      <w:bookmarkEnd w:id="0"/>
    </w:p>
    <w:p w14:paraId="345F9A47" w14:textId="49734511" w:rsidR="00DF3BA7" w:rsidRPr="005B39EE" w:rsidRDefault="00CC3A77"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SRR-004-CD </w:t>
      </w:r>
      <w:r w:rsidR="00E13F11" w:rsidRPr="005B39EE">
        <w:rPr>
          <w:rFonts w:cs="Arial"/>
          <w:b/>
          <w:bCs/>
          <w:shd w:val="clear" w:color="auto" w:fill="FFFFFF"/>
        </w:rPr>
        <w:t xml:space="preserve">- </w:t>
      </w:r>
      <w:r w:rsidR="00680EBE" w:rsidRPr="005B39EE">
        <w:rPr>
          <w:rFonts w:cs="Arial"/>
          <w:b/>
          <w:bCs/>
          <w:shd w:val="clear" w:color="auto" w:fill="FFFFFF"/>
        </w:rPr>
        <w:t>Planning</w:t>
      </w:r>
    </w:p>
    <w:p w14:paraId="75514BFF" w14:textId="1CD029A9" w:rsidR="00E13F11" w:rsidRPr="00EF699F" w:rsidRDefault="00DF3BA7" w:rsidP="00EF699F">
      <w:pPr>
        <w:pStyle w:val="Bulletpoints"/>
        <w:ind w:left="720"/>
        <w:rPr>
          <w:rFonts w:cs="Arial"/>
          <w:shd w:val="clear" w:color="auto" w:fill="FFFFFF"/>
        </w:rPr>
      </w:pPr>
      <w:r w:rsidRPr="00EF699F">
        <w:rPr>
          <w:rFonts w:cs="Arial"/>
          <w:shd w:val="clear" w:color="auto" w:fill="FFFFFF"/>
        </w:rPr>
        <w:t>Delays to Council projects caused by outside agencies</w:t>
      </w:r>
      <w:r w:rsidR="008E4BF9" w:rsidRPr="00EF699F">
        <w:rPr>
          <w:rFonts w:cs="Arial"/>
          <w:shd w:val="clear" w:color="auto" w:fill="FFFFFF"/>
        </w:rPr>
        <w:t xml:space="preserve"> - </w:t>
      </w:r>
      <w:r w:rsidRPr="00EF699F">
        <w:rPr>
          <w:rFonts w:cs="Arial"/>
          <w:shd w:val="clear" w:color="auto" w:fill="FFFFFF"/>
        </w:rPr>
        <w:t>If there are delays to Council projects caused by outside agencies there will be reduced Council performance and missed targets.</w:t>
      </w:r>
    </w:p>
    <w:p w14:paraId="2199BC41" w14:textId="0482FE4C" w:rsidR="00E13F11" w:rsidRPr="005B39EE" w:rsidRDefault="002065C2" w:rsidP="005B39EE">
      <w:pPr>
        <w:pStyle w:val="Bulletpoints"/>
        <w:numPr>
          <w:ilvl w:val="0"/>
          <w:numId w:val="44"/>
        </w:numPr>
        <w:rPr>
          <w:rFonts w:cs="Arial"/>
          <w:b/>
          <w:bCs/>
          <w:shd w:val="clear" w:color="auto" w:fill="FFFFFF"/>
        </w:rPr>
      </w:pPr>
      <w:r w:rsidRPr="005B39EE">
        <w:rPr>
          <w:rFonts w:cs="Arial"/>
          <w:b/>
          <w:bCs/>
          <w:shd w:val="clear" w:color="auto" w:fill="FFFFFF"/>
        </w:rPr>
        <w:t>SRR-007-</w:t>
      </w:r>
      <w:r w:rsidR="00E13F11" w:rsidRPr="005B39EE">
        <w:rPr>
          <w:rFonts w:cs="Arial"/>
          <w:b/>
          <w:bCs/>
          <w:shd w:val="clear" w:color="auto" w:fill="FFFFFF"/>
        </w:rPr>
        <w:t xml:space="preserve"> </w:t>
      </w:r>
      <w:r w:rsidRPr="005B39EE">
        <w:rPr>
          <w:rFonts w:cs="Arial"/>
          <w:b/>
          <w:bCs/>
          <w:shd w:val="clear" w:color="auto" w:fill="FFFFFF"/>
        </w:rPr>
        <w:t xml:space="preserve">CD </w:t>
      </w:r>
      <w:r w:rsidR="00E13F11" w:rsidRPr="005B39EE">
        <w:rPr>
          <w:rFonts w:cs="Arial"/>
          <w:b/>
          <w:bCs/>
          <w:shd w:val="clear" w:color="auto" w:fill="FFFFFF"/>
        </w:rPr>
        <w:t xml:space="preserve">– </w:t>
      </w:r>
      <w:r w:rsidR="00680EBE" w:rsidRPr="005B39EE">
        <w:rPr>
          <w:rFonts w:cs="Arial"/>
          <w:b/>
          <w:bCs/>
          <w:shd w:val="clear" w:color="auto" w:fill="FFFFFF"/>
        </w:rPr>
        <w:t>Planning</w:t>
      </w:r>
    </w:p>
    <w:p w14:paraId="1A63613B" w14:textId="67091CBB" w:rsidR="00680EBE" w:rsidRPr="00EF699F" w:rsidRDefault="00E13F11" w:rsidP="00EF699F">
      <w:pPr>
        <w:pStyle w:val="Bulletpoints"/>
        <w:ind w:left="720"/>
        <w:rPr>
          <w:rFonts w:cs="Arial"/>
          <w:shd w:val="clear" w:color="auto" w:fill="FFFFFF"/>
        </w:rPr>
      </w:pPr>
      <w:r w:rsidRPr="00EF699F">
        <w:rPr>
          <w:rFonts w:cs="Arial"/>
          <w:shd w:val="clear" w:color="auto" w:fill="FFFFFF"/>
        </w:rPr>
        <w:t xml:space="preserve">If Government legislation requiring substantial changes in the planning system results in a need for redesigned </w:t>
      </w:r>
      <w:r w:rsidR="00B70062" w:rsidRPr="00EF699F">
        <w:rPr>
          <w:rFonts w:cs="Arial"/>
          <w:shd w:val="clear" w:color="auto" w:fill="FFFFFF"/>
        </w:rPr>
        <w:t>processes,</w:t>
      </w:r>
      <w:r w:rsidRPr="00EF699F">
        <w:rPr>
          <w:rFonts w:cs="Arial"/>
          <w:shd w:val="clear" w:color="auto" w:fill="FFFFFF"/>
        </w:rPr>
        <w:t xml:space="preserve"> then there will be a lack of capacity </w:t>
      </w:r>
      <w:r w:rsidRPr="00EF699F">
        <w:rPr>
          <w:rFonts w:cs="Arial"/>
          <w:shd w:val="clear" w:color="auto" w:fill="FFFFFF"/>
        </w:rPr>
        <w:lastRenderedPageBreak/>
        <w:t xml:space="preserve">to </w:t>
      </w:r>
      <w:r w:rsidR="00860A8D" w:rsidRPr="00EF699F">
        <w:rPr>
          <w:rFonts w:cs="Arial"/>
          <w:shd w:val="clear" w:color="auto" w:fill="FFFFFF"/>
        </w:rPr>
        <w:t>meet</w:t>
      </w:r>
      <w:r w:rsidRPr="00EF699F">
        <w:rPr>
          <w:rFonts w:cs="Arial"/>
          <w:shd w:val="clear" w:color="auto" w:fill="FFFFFF"/>
        </w:rPr>
        <w:t xml:space="preserve"> the changes and the delivery of local policy objectives will be undermined.  </w:t>
      </w:r>
    </w:p>
    <w:p w14:paraId="71424CE5" w14:textId="77777777" w:rsidR="00860A8D" w:rsidRPr="005B39EE" w:rsidRDefault="00E9621E"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SRR-034-BIT </w:t>
      </w:r>
      <w:r w:rsidR="00860A8D" w:rsidRPr="005B39EE">
        <w:rPr>
          <w:rFonts w:cs="Arial"/>
          <w:b/>
          <w:bCs/>
          <w:shd w:val="clear" w:color="auto" w:fill="FFFFFF"/>
        </w:rPr>
        <w:t xml:space="preserve">- </w:t>
      </w:r>
      <w:r w:rsidR="00AA4877" w:rsidRPr="005B39EE">
        <w:rPr>
          <w:rFonts w:cs="Arial"/>
          <w:b/>
          <w:bCs/>
          <w:shd w:val="clear" w:color="auto" w:fill="FFFFFF"/>
        </w:rPr>
        <w:t>Financial Services</w:t>
      </w:r>
    </w:p>
    <w:p w14:paraId="2B45E87A" w14:textId="228B77FB" w:rsidR="00AA4877" w:rsidRPr="00EF699F" w:rsidRDefault="00860A8D" w:rsidP="00EF699F">
      <w:pPr>
        <w:pStyle w:val="Bulletpoints"/>
        <w:ind w:left="720"/>
        <w:rPr>
          <w:rFonts w:cs="Arial"/>
          <w:shd w:val="clear" w:color="auto" w:fill="FFFFFF"/>
        </w:rPr>
      </w:pPr>
      <w:r w:rsidRPr="00EF699F">
        <w:rPr>
          <w:rFonts w:cs="Arial"/>
          <w:shd w:val="clear" w:color="auto" w:fill="FFFFFF"/>
        </w:rPr>
        <w:t>Procurement</w:t>
      </w:r>
      <w:r w:rsidR="008E4BF9" w:rsidRPr="00EF699F">
        <w:rPr>
          <w:rFonts w:cs="Arial"/>
          <w:shd w:val="clear" w:color="auto" w:fill="FFFFFF"/>
        </w:rPr>
        <w:t xml:space="preserve"> - </w:t>
      </w:r>
      <w:r w:rsidRPr="00EF699F">
        <w:rPr>
          <w:rFonts w:cs="Arial"/>
          <w:shd w:val="clear" w:color="auto" w:fill="FFFFFF"/>
        </w:rPr>
        <w:t>If there is failure to follow best procurement practice then there is an increased risk of challenge</w:t>
      </w:r>
      <w:r w:rsidR="00F73DEB">
        <w:rPr>
          <w:rFonts w:cs="Arial"/>
          <w:shd w:val="clear" w:color="auto" w:fill="FFFFFF"/>
        </w:rPr>
        <w:t>.  T</w:t>
      </w:r>
      <w:r w:rsidRPr="00EF699F">
        <w:rPr>
          <w:rFonts w:cs="Arial"/>
          <w:shd w:val="clear" w:color="auto" w:fill="FFFFFF"/>
        </w:rPr>
        <w:t>he reputation of the Council will suffer</w:t>
      </w:r>
      <w:r w:rsidR="00F73DEB">
        <w:rPr>
          <w:rFonts w:cs="Arial"/>
          <w:shd w:val="clear" w:color="auto" w:fill="FFFFFF"/>
        </w:rPr>
        <w:t xml:space="preserve"> and</w:t>
      </w:r>
      <w:r w:rsidRPr="00EF699F">
        <w:rPr>
          <w:rFonts w:cs="Arial"/>
          <w:shd w:val="clear" w:color="auto" w:fill="FFFFFF"/>
        </w:rPr>
        <w:t xml:space="preserve"> there may be </w:t>
      </w:r>
      <w:proofErr w:type="gramStart"/>
      <w:r w:rsidRPr="00EF699F">
        <w:rPr>
          <w:rFonts w:cs="Arial"/>
          <w:shd w:val="clear" w:color="auto" w:fill="FFFFFF"/>
        </w:rPr>
        <w:t>financial loss</w:t>
      </w:r>
      <w:proofErr w:type="gramEnd"/>
      <w:r w:rsidRPr="00EF699F">
        <w:rPr>
          <w:rFonts w:cs="Arial"/>
          <w:shd w:val="clear" w:color="auto" w:fill="FFFFFF"/>
        </w:rPr>
        <w:t xml:space="preserve"> and delays in delivering priorities</w:t>
      </w:r>
      <w:r w:rsidR="00F73DEB">
        <w:rPr>
          <w:rFonts w:cs="Arial"/>
          <w:shd w:val="clear" w:color="auto" w:fill="FFFFFF"/>
        </w:rPr>
        <w:t>.</w:t>
      </w:r>
    </w:p>
    <w:p w14:paraId="33BC5F9F" w14:textId="77777777" w:rsidR="00860A8D" w:rsidRPr="005B39EE" w:rsidRDefault="002065C2"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SRR-018-FS </w:t>
      </w:r>
      <w:r w:rsidR="00860A8D" w:rsidRPr="005B39EE">
        <w:rPr>
          <w:rFonts w:cs="Arial"/>
          <w:b/>
          <w:bCs/>
          <w:shd w:val="clear" w:color="auto" w:fill="FFFFFF"/>
        </w:rPr>
        <w:t xml:space="preserve">- </w:t>
      </w:r>
      <w:r w:rsidR="003C609F" w:rsidRPr="005B39EE">
        <w:rPr>
          <w:rFonts w:cs="Arial"/>
          <w:b/>
          <w:bCs/>
          <w:shd w:val="clear" w:color="auto" w:fill="FFFFFF"/>
        </w:rPr>
        <w:t>Financial Services</w:t>
      </w:r>
    </w:p>
    <w:p w14:paraId="65CD8002" w14:textId="36EFE7B9" w:rsidR="00A603BB" w:rsidRPr="00EF699F" w:rsidRDefault="00860A8D" w:rsidP="00EF699F">
      <w:pPr>
        <w:pStyle w:val="Bulletpoints"/>
        <w:ind w:left="720"/>
        <w:rPr>
          <w:rFonts w:cs="Arial"/>
          <w:shd w:val="clear" w:color="auto" w:fill="FFFFFF"/>
        </w:rPr>
      </w:pPr>
      <w:r w:rsidRPr="00EF699F">
        <w:rPr>
          <w:rFonts w:cs="Arial"/>
          <w:shd w:val="clear" w:color="auto" w:fill="FFFFFF"/>
        </w:rPr>
        <w:t>Management effectiveness and the ability of employees to deliver services</w:t>
      </w:r>
      <w:r w:rsidR="008E4BF9" w:rsidRPr="00EF699F">
        <w:rPr>
          <w:rFonts w:cs="Arial"/>
          <w:shd w:val="clear" w:color="auto" w:fill="FFFFFF"/>
        </w:rPr>
        <w:t xml:space="preserve"> - </w:t>
      </w:r>
      <w:r w:rsidRPr="00EF699F">
        <w:rPr>
          <w:rFonts w:cs="Arial"/>
          <w:shd w:val="clear" w:color="auto" w:fill="FFFFFF"/>
        </w:rPr>
        <w:t xml:space="preserve">If an increased workload places excessive pressure on staff and </w:t>
      </w:r>
      <w:r w:rsidR="00B70062" w:rsidRPr="00EF699F">
        <w:rPr>
          <w:rFonts w:cs="Arial"/>
          <w:shd w:val="clear" w:color="auto" w:fill="FFFFFF"/>
        </w:rPr>
        <w:t>managers,</w:t>
      </w:r>
      <w:r w:rsidR="001754F9" w:rsidRPr="00EF699F">
        <w:rPr>
          <w:rFonts w:cs="Arial"/>
          <w:shd w:val="clear" w:color="auto" w:fill="FFFFFF"/>
        </w:rPr>
        <w:t xml:space="preserve"> then there might be an increase in staff stress and burnout resulting in a lack of capacity to deliver work demands.</w:t>
      </w:r>
      <w:r w:rsidR="003C609F" w:rsidRPr="00EF699F">
        <w:rPr>
          <w:rFonts w:cs="Arial"/>
          <w:shd w:val="clear" w:color="auto" w:fill="FFFFFF"/>
        </w:rPr>
        <w:t xml:space="preserve"> </w:t>
      </w:r>
    </w:p>
    <w:p w14:paraId="0E1C6586" w14:textId="4CC70423" w:rsidR="001754F9" w:rsidRPr="005B39EE" w:rsidRDefault="002065C2" w:rsidP="005B39EE">
      <w:pPr>
        <w:pStyle w:val="Bulletpoints"/>
        <w:numPr>
          <w:ilvl w:val="0"/>
          <w:numId w:val="44"/>
        </w:numPr>
        <w:rPr>
          <w:rFonts w:cs="Arial"/>
          <w:b/>
          <w:bCs/>
          <w:shd w:val="clear" w:color="auto" w:fill="FFFFFF"/>
        </w:rPr>
      </w:pPr>
      <w:r w:rsidRPr="005B39EE">
        <w:rPr>
          <w:rFonts w:cs="Arial"/>
          <w:b/>
          <w:bCs/>
          <w:shd w:val="clear" w:color="auto" w:fill="FFFFFF"/>
        </w:rPr>
        <w:t xml:space="preserve">SRR-001-HC </w:t>
      </w:r>
      <w:r w:rsidR="001754F9" w:rsidRPr="005B39EE">
        <w:rPr>
          <w:rFonts w:cs="Arial"/>
          <w:b/>
          <w:bCs/>
          <w:shd w:val="clear" w:color="auto" w:fill="FFFFFF"/>
        </w:rPr>
        <w:t xml:space="preserve">- </w:t>
      </w:r>
      <w:r w:rsidR="002A68B2" w:rsidRPr="005B39EE">
        <w:rPr>
          <w:rFonts w:cs="Arial"/>
          <w:b/>
          <w:bCs/>
          <w:shd w:val="clear" w:color="auto" w:fill="FFFFFF"/>
        </w:rPr>
        <w:t>Housing Services</w:t>
      </w:r>
    </w:p>
    <w:p w14:paraId="499996B8" w14:textId="5904F3DE" w:rsidR="009929C5" w:rsidRPr="00EF699F" w:rsidRDefault="001754F9" w:rsidP="00EF699F">
      <w:pPr>
        <w:pStyle w:val="Bulletpoints"/>
        <w:ind w:left="720"/>
        <w:rPr>
          <w:rFonts w:cs="Arial"/>
          <w:shd w:val="clear" w:color="auto" w:fill="FFFFFF"/>
        </w:rPr>
      </w:pPr>
      <w:r w:rsidRPr="00EF699F">
        <w:rPr>
          <w:rFonts w:cs="Arial"/>
          <w:shd w:val="clear" w:color="auto" w:fill="FFFFFF"/>
        </w:rPr>
        <w:t>Increase homelessness costs</w:t>
      </w:r>
      <w:r w:rsidR="008E4BF9" w:rsidRPr="00EF699F">
        <w:rPr>
          <w:rFonts w:cs="Arial"/>
          <w:shd w:val="clear" w:color="auto" w:fill="FFFFFF"/>
        </w:rPr>
        <w:t xml:space="preserve"> - </w:t>
      </w:r>
      <w:r w:rsidRPr="00EF699F">
        <w:rPr>
          <w:rFonts w:cs="Arial"/>
          <w:shd w:val="clear" w:color="auto" w:fill="FFFFFF"/>
        </w:rPr>
        <w:t xml:space="preserve">If </w:t>
      </w:r>
      <w:r w:rsidR="009929C5" w:rsidRPr="00EF699F">
        <w:rPr>
          <w:rFonts w:cs="Arial"/>
          <w:shd w:val="clear" w:color="auto" w:fill="FFFFFF"/>
        </w:rPr>
        <w:t>the economic climate and changes to housing benefit and local housing allowance result in more</w:t>
      </w:r>
      <w:r w:rsidRPr="00EF699F">
        <w:rPr>
          <w:rFonts w:cs="Arial"/>
          <w:shd w:val="clear" w:color="auto" w:fill="FFFFFF"/>
        </w:rPr>
        <w:t xml:space="preserve"> homelessness</w:t>
      </w:r>
      <w:r w:rsidR="00B70062" w:rsidRPr="00EF699F">
        <w:rPr>
          <w:rFonts w:cs="Arial"/>
          <w:shd w:val="clear" w:color="auto" w:fill="FFFFFF"/>
        </w:rPr>
        <w:t>,</w:t>
      </w:r>
      <w:r w:rsidRPr="00EF699F">
        <w:rPr>
          <w:rFonts w:cs="Arial"/>
          <w:shd w:val="clear" w:color="auto" w:fill="FFFFFF"/>
        </w:rPr>
        <w:t xml:space="preserve"> </w:t>
      </w:r>
      <w:r w:rsidR="009929C5" w:rsidRPr="00EF699F">
        <w:rPr>
          <w:rFonts w:cs="Arial"/>
          <w:shd w:val="clear" w:color="auto" w:fill="FFFFFF"/>
        </w:rPr>
        <w:t xml:space="preserve">there will be higher homelessness acceptances </w:t>
      </w:r>
      <w:r w:rsidRPr="00EF699F">
        <w:rPr>
          <w:rFonts w:cs="Arial"/>
          <w:shd w:val="clear" w:color="auto" w:fill="FFFFFF"/>
        </w:rPr>
        <w:t>and an increase in the use of B&amp;B accommodation</w:t>
      </w:r>
      <w:r w:rsidR="009929C5" w:rsidRPr="00EF699F">
        <w:rPr>
          <w:rFonts w:cs="Arial"/>
          <w:shd w:val="clear" w:color="auto" w:fill="FFFFFF"/>
        </w:rPr>
        <w:t xml:space="preserve">.  This will result in an </w:t>
      </w:r>
      <w:r w:rsidRPr="00EF699F">
        <w:rPr>
          <w:rFonts w:cs="Arial"/>
          <w:shd w:val="clear" w:color="auto" w:fill="FFFFFF"/>
        </w:rPr>
        <w:t xml:space="preserve">increase in the cost of the provision of temporary accommodation </w:t>
      </w:r>
      <w:r w:rsidR="009929C5" w:rsidRPr="00EF699F">
        <w:rPr>
          <w:rFonts w:cs="Arial"/>
          <w:shd w:val="clear" w:color="auto" w:fill="FFFFFF"/>
        </w:rPr>
        <w:t>and rent top up payments</w:t>
      </w:r>
      <w:r w:rsidR="00B70062" w:rsidRPr="00EF699F">
        <w:rPr>
          <w:rFonts w:cs="Arial"/>
          <w:shd w:val="clear" w:color="auto" w:fill="FFFFFF"/>
        </w:rPr>
        <w:t>,</w:t>
      </w:r>
      <w:r w:rsidR="009929C5" w:rsidRPr="00EF699F">
        <w:rPr>
          <w:rFonts w:cs="Arial"/>
          <w:shd w:val="clear" w:color="auto" w:fill="FFFFFF"/>
        </w:rPr>
        <w:t xml:space="preserve"> leading to budget pressure.</w:t>
      </w:r>
      <w:r w:rsidR="002A68B2" w:rsidRPr="00EF699F">
        <w:rPr>
          <w:rFonts w:cs="Arial"/>
          <w:shd w:val="clear" w:color="auto" w:fill="FFFFFF"/>
        </w:rPr>
        <w:t xml:space="preserve"> </w:t>
      </w:r>
    </w:p>
    <w:p w14:paraId="4FBE092D" w14:textId="77777777" w:rsidR="009929C5" w:rsidRDefault="009929C5" w:rsidP="009929C5">
      <w:pPr>
        <w:pStyle w:val="Bulletpoints"/>
        <w:ind w:left="928"/>
      </w:pPr>
    </w:p>
    <w:p w14:paraId="535800BB" w14:textId="77777777" w:rsidR="00F00DE8" w:rsidRDefault="00F00DE8" w:rsidP="00F00DE8">
      <w:pPr>
        <w:pStyle w:val="Heading1"/>
      </w:pPr>
      <w:r>
        <w:t>Business Continuity</w:t>
      </w:r>
    </w:p>
    <w:p w14:paraId="07C45ECE" w14:textId="5B9C7E2C" w:rsidR="00A97D2A" w:rsidRPr="00F73DEB" w:rsidRDefault="00A97D2A" w:rsidP="00F73DEB">
      <w:pPr>
        <w:pStyle w:val="ListParagraph"/>
      </w:pPr>
      <w:r w:rsidRPr="00F73DEB">
        <w:t xml:space="preserve">The Corporate Business Continuity Plan (BCP) will </w:t>
      </w:r>
      <w:proofErr w:type="gramStart"/>
      <w:r w:rsidRPr="00F73DEB">
        <w:t>be</w:t>
      </w:r>
      <w:r w:rsidR="00F01B59">
        <w:t xml:space="preserve"> reviewed</w:t>
      </w:r>
      <w:proofErr w:type="gramEnd"/>
      <w:r w:rsidR="00F01B59">
        <w:t xml:space="preserve"> to </w:t>
      </w:r>
      <w:r w:rsidR="00B242C2">
        <w:t xml:space="preserve">ensure </w:t>
      </w:r>
      <w:r w:rsidR="00B242C2" w:rsidRPr="00F73DEB">
        <w:t>alignment</w:t>
      </w:r>
      <w:r w:rsidRPr="00F73DEB">
        <w:t xml:space="preserve"> with the </w:t>
      </w:r>
      <w:r w:rsidR="00F01B59">
        <w:t>latest</w:t>
      </w:r>
      <w:r w:rsidRPr="00F73DEB">
        <w:t xml:space="preserve"> Emergency Plan and</w:t>
      </w:r>
      <w:r w:rsidR="00F01B59">
        <w:t>,</w:t>
      </w:r>
      <w:r w:rsidRPr="00F73DEB">
        <w:t xml:space="preserve"> following this, all </w:t>
      </w:r>
      <w:r w:rsidR="00090F6D" w:rsidRPr="00F73DEB">
        <w:t>Service Business Continuity Plans will be reviewed to ensure these align with the Corporate BCP.  A Business Continuity exercise is planned to be programmed during 2025 with the assistance of Zurich Insurance</w:t>
      </w:r>
      <w:r w:rsidR="00F01B59">
        <w:t xml:space="preserve"> following these updates</w:t>
      </w:r>
      <w:r w:rsidR="00090F6D" w:rsidRPr="00F73DEB">
        <w:t>.</w:t>
      </w:r>
    </w:p>
    <w:p w14:paraId="68299F89" w14:textId="77777777" w:rsidR="00DE3EAB" w:rsidRDefault="00DE3EAB" w:rsidP="00F00DE8">
      <w:pPr>
        <w:rPr>
          <w:rFonts w:cs="Arial"/>
          <w:b/>
        </w:rPr>
      </w:pPr>
    </w:p>
    <w:p w14:paraId="1FDA3911" w14:textId="77777777" w:rsidR="00F00DE8" w:rsidRDefault="00F00DE8" w:rsidP="00F00DE8">
      <w:pPr>
        <w:rPr>
          <w:rFonts w:cs="Arial"/>
          <w:b/>
        </w:rPr>
      </w:pPr>
      <w:r>
        <w:rPr>
          <w:rFonts w:cs="Arial"/>
          <w:b/>
        </w:rPr>
        <w:t xml:space="preserve">Climate Change/Environmental Impact </w:t>
      </w:r>
    </w:p>
    <w:p w14:paraId="11CC030A" w14:textId="797CDEFF" w:rsidR="00F00DE8" w:rsidRPr="00F00DE8" w:rsidRDefault="001B0682" w:rsidP="00F73DEB">
      <w:pPr>
        <w:pStyle w:val="ListParagraph"/>
      </w:pPr>
      <w:r>
        <w:t>T</w:t>
      </w:r>
      <w:r w:rsidR="00F00DE8" w:rsidRPr="008B29A7">
        <w:t xml:space="preserve">here are no </w:t>
      </w:r>
      <w:r w:rsidR="00F00DE8">
        <w:t xml:space="preserve">specific </w:t>
      </w:r>
      <w:r w:rsidR="00F00DE8" w:rsidRPr="008B29A7">
        <w:t xml:space="preserve">impacts arising directly from this </w:t>
      </w:r>
      <w:r w:rsidR="00F73DEB" w:rsidRPr="008B29A7">
        <w:t>report.</w:t>
      </w:r>
    </w:p>
    <w:p w14:paraId="5A9D6382" w14:textId="77777777" w:rsidR="00F00DE8" w:rsidRPr="00F00DE8" w:rsidRDefault="00F00DE8" w:rsidP="00F00DE8">
      <w:pPr>
        <w:pStyle w:val="Heading1"/>
      </w:pPr>
      <w:r>
        <w:t>Equalities Impact</w:t>
      </w:r>
    </w:p>
    <w:p w14:paraId="62FF5A00" w14:textId="77777777" w:rsidR="00F00DE8" w:rsidRPr="00F00DE8" w:rsidRDefault="00F00DE8" w:rsidP="00090F6D">
      <w:pPr>
        <w:pStyle w:val="ListParagraph"/>
      </w:pPr>
      <w:r w:rsidRPr="007B753F">
        <w:t xml:space="preserve">There are no </w:t>
      </w:r>
      <w:r>
        <w:t xml:space="preserve">equalities impacts </w:t>
      </w:r>
      <w:r w:rsidRPr="007B753F">
        <w:t xml:space="preserve">arising directly from this report. </w:t>
      </w:r>
    </w:p>
    <w:p w14:paraId="792CA1CA" w14:textId="77777777" w:rsidR="00F00DE8" w:rsidRPr="00F00DE8" w:rsidRDefault="00F00DE8" w:rsidP="00F00DE8">
      <w:pPr>
        <w:pStyle w:val="Heading1"/>
      </w:pPr>
      <w:r>
        <w:t xml:space="preserve">Financial </w:t>
      </w:r>
      <w:r w:rsidRPr="005044C6">
        <w:t>Implications</w:t>
      </w:r>
    </w:p>
    <w:p w14:paraId="4047C2E3" w14:textId="77777777" w:rsidR="00F00DE8" w:rsidRPr="00F00DE8" w:rsidRDefault="00F00DE8" w:rsidP="00090F6D">
      <w:pPr>
        <w:pStyle w:val="ListParagraph"/>
      </w:pPr>
      <w:r>
        <w:t>There are no financial implications arising directly from this report.</w:t>
      </w:r>
    </w:p>
    <w:p w14:paraId="1C0C45B9" w14:textId="77777777" w:rsidR="00F00DE8" w:rsidRPr="00F00DE8" w:rsidRDefault="00F00DE8" w:rsidP="00F00DE8">
      <w:pPr>
        <w:pStyle w:val="Heading1"/>
      </w:pPr>
      <w:r>
        <w:t xml:space="preserve">Legal Implications </w:t>
      </w:r>
    </w:p>
    <w:p w14:paraId="1DDB9A15" w14:textId="7C9654B4" w:rsidR="00F00DE8" w:rsidRDefault="00F00DE8" w:rsidP="00090F6D">
      <w:pPr>
        <w:pStyle w:val="ListParagraph"/>
      </w:pPr>
      <w:r>
        <w:t xml:space="preserve">There are no legal implications directly relevant to this report but having proper arrangements to manage risk throughout the organisation is </w:t>
      </w:r>
      <w:proofErr w:type="gramStart"/>
      <w:r>
        <w:t>an important component</w:t>
      </w:r>
      <w:proofErr w:type="gramEnd"/>
      <w:r>
        <w:t xml:space="preserve"> of good corporate governance and good business </w:t>
      </w:r>
      <w:r w:rsidR="00DC22E4">
        <w:t>management. There</w:t>
      </w:r>
      <w:r>
        <w:t xml:space="preserve"> are </w:t>
      </w:r>
      <w:proofErr w:type="gramStart"/>
      <w:r>
        <w:t>some</w:t>
      </w:r>
      <w:proofErr w:type="gramEnd"/>
      <w:r>
        <w:t xml:space="preserve"> legal issues that may arise going forward in the business continuity </w:t>
      </w:r>
      <w:r w:rsidR="009263D0">
        <w:t>process,</w:t>
      </w:r>
      <w:r>
        <w:t xml:space="preserve"> but these will be managed on a case by case basis.</w:t>
      </w:r>
    </w:p>
    <w:p w14:paraId="12DF24DF" w14:textId="77777777" w:rsidR="00F00DE8" w:rsidRPr="001356F1" w:rsidRDefault="00F00DE8"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6403F8DF"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15962C6C"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3D32E18F" w14:textId="26158D89" w:rsidR="00E87F7A" w:rsidRPr="001356F1" w:rsidRDefault="00B70062" w:rsidP="00A46E98">
            <w:r>
              <w:t>Roger Martin</w:t>
            </w:r>
          </w:p>
        </w:tc>
      </w:tr>
      <w:tr w:rsidR="00DF093E" w:rsidRPr="001356F1" w14:paraId="4C17534E"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076F7F9F" w14:textId="77777777" w:rsidR="00E87F7A" w:rsidRPr="001356F1" w:rsidRDefault="00E87F7A" w:rsidP="00A46E98">
            <w:r w:rsidRPr="001356F1">
              <w:lastRenderedPageBreak/>
              <w:t>Job title</w:t>
            </w:r>
          </w:p>
        </w:tc>
        <w:tc>
          <w:tcPr>
            <w:tcW w:w="4962" w:type="dxa"/>
            <w:tcBorders>
              <w:top w:val="single" w:sz="8" w:space="0" w:color="000000"/>
              <w:left w:val="nil"/>
              <w:bottom w:val="nil"/>
              <w:right w:val="single" w:sz="8" w:space="0" w:color="000000"/>
            </w:tcBorders>
            <w:shd w:val="clear" w:color="auto" w:fill="auto"/>
          </w:tcPr>
          <w:p w14:paraId="5B7FACDC" w14:textId="6BFFF7BE" w:rsidR="00E87F7A" w:rsidRPr="001356F1" w:rsidRDefault="00B70062" w:rsidP="00A46E98">
            <w:r>
              <w:t>Insurance, Risk Management and Business Continuity Officer</w:t>
            </w:r>
          </w:p>
        </w:tc>
      </w:tr>
      <w:tr w:rsidR="00DF093E" w:rsidRPr="001356F1" w14:paraId="372A476A" w14:textId="77777777" w:rsidTr="00A46E98">
        <w:trPr>
          <w:cantSplit/>
          <w:trHeight w:val="396"/>
        </w:trPr>
        <w:tc>
          <w:tcPr>
            <w:tcW w:w="3969" w:type="dxa"/>
            <w:tcBorders>
              <w:top w:val="nil"/>
              <w:left w:val="single" w:sz="8" w:space="0" w:color="000000"/>
              <w:bottom w:val="nil"/>
              <w:right w:val="nil"/>
            </w:tcBorders>
            <w:shd w:val="clear" w:color="auto" w:fill="auto"/>
          </w:tcPr>
          <w:p w14:paraId="35E3B9F1"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7C612DE3" w14:textId="77777777" w:rsidR="00E87F7A" w:rsidRPr="001356F1" w:rsidRDefault="00E52920" w:rsidP="00A46E98">
            <w:r>
              <w:t>Financial Services</w:t>
            </w:r>
          </w:p>
        </w:tc>
      </w:tr>
      <w:tr w:rsidR="00DF093E" w:rsidRPr="001356F1" w14:paraId="44236FA6" w14:textId="77777777" w:rsidTr="00A46E98">
        <w:trPr>
          <w:cantSplit/>
          <w:trHeight w:val="396"/>
        </w:trPr>
        <w:tc>
          <w:tcPr>
            <w:tcW w:w="3969" w:type="dxa"/>
            <w:tcBorders>
              <w:top w:val="nil"/>
              <w:left w:val="single" w:sz="8" w:space="0" w:color="000000"/>
              <w:bottom w:val="nil"/>
              <w:right w:val="nil"/>
            </w:tcBorders>
            <w:shd w:val="clear" w:color="auto" w:fill="auto"/>
          </w:tcPr>
          <w:p w14:paraId="6C02815A"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37293D5A" w14:textId="5F9EFA94" w:rsidR="00E87F7A" w:rsidRPr="001356F1" w:rsidRDefault="006058CA" w:rsidP="00244B5A">
            <w:r>
              <w:rPr>
                <w:rFonts w:cs="Arial"/>
                <w:color w:val="10428C"/>
              </w:rPr>
              <w:t>07483010703</w:t>
            </w:r>
            <w:r w:rsidDel="006058CA">
              <w:rPr>
                <w:lang w:val="de-DE"/>
              </w:rPr>
              <w:t xml:space="preserve"> </w:t>
            </w:r>
          </w:p>
        </w:tc>
      </w:tr>
      <w:tr w:rsidR="005570B5" w:rsidRPr="001356F1" w14:paraId="353A564A"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1E7F17DC"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0CC323A0" w14:textId="62AD6699" w:rsidR="00A9534A" w:rsidRPr="00E52920" w:rsidRDefault="00E52920" w:rsidP="00A9534A">
            <w:pPr>
              <w:rPr>
                <w:rStyle w:val="Hyperlink"/>
                <w:color w:val="000000"/>
                <w:sz w:val="20"/>
                <w:u w:val="none"/>
              </w:rPr>
            </w:pPr>
            <w:r>
              <w:t xml:space="preserve">Email: </w:t>
            </w:r>
            <w:hyperlink r:id="rId11" w:history="1">
              <w:r w:rsidR="006058CA" w:rsidRPr="00AF469A">
                <w:rPr>
                  <w:rStyle w:val="Hyperlink"/>
                  <w:lang w:val="de-DE"/>
                </w:rPr>
                <w:t>R</w:t>
              </w:r>
              <w:r w:rsidR="006058CA" w:rsidRPr="00AF469A">
                <w:rPr>
                  <w:rStyle w:val="Hyperlink"/>
                </w:rPr>
                <w:t>oM</w:t>
              </w:r>
              <w:r w:rsidR="006058CA" w:rsidRPr="006058CA">
                <w:rPr>
                  <w:rStyle w:val="Hyperlink"/>
                  <w:lang w:val="de-DE"/>
                </w:rPr>
                <w:t>artin@oxford.gov.uk</w:t>
              </w:r>
            </w:hyperlink>
          </w:p>
        </w:tc>
      </w:tr>
    </w:tbl>
    <w:p w14:paraId="1A0D3252" w14:textId="77777777" w:rsidR="00433B96" w:rsidRDefault="00433B96" w:rsidP="004A6D2F"/>
    <w:p w14:paraId="07503AAD" w14:textId="77777777" w:rsidR="00E67E2E" w:rsidRDefault="00E67E2E" w:rsidP="00E67E2E">
      <w:pPr>
        <w:rPr>
          <w:rFonts w:cs="Arial"/>
          <w:b/>
          <w:bCs/>
        </w:rPr>
      </w:pPr>
      <w:r>
        <w:rPr>
          <w:rFonts w:cs="Arial"/>
          <w:b/>
          <w:bCs/>
        </w:rPr>
        <w:t>List of background papers: None.</w:t>
      </w:r>
    </w:p>
    <w:p w14:paraId="2BE7ABE2" w14:textId="77777777" w:rsidR="00E67E2E" w:rsidRPr="001356F1" w:rsidRDefault="00E67E2E" w:rsidP="004A6D2F"/>
    <w:sectPr w:rsidR="00E67E2E" w:rsidRPr="001356F1" w:rsidSect="00B558E1">
      <w:footerReference w:type="even" r:id="rId12"/>
      <w:headerReference w:type="first" r:id="rId13"/>
      <w:footerReference w:type="first" r:id="rId14"/>
      <w:pgSz w:w="11906" w:h="16838" w:code="9"/>
      <w:pgMar w:top="1304"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041F" w14:textId="77777777" w:rsidR="00D317B1" w:rsidRDefault="00D317B1" w:rsidP="004A6D2F">
      <w:r>
        <w:separator/>
      </w:r>
    </w:p>
  </w:endnote>
  <w:endnote w:type="continuationSeparator" w:id="0">
    <w:p w14:paraId="14ACD5B7" w14:textId="77777777" w:rsidR="00D317B1" w:rsidRDefault="00D317B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B126" w14:textId="77777777" w:rsidR="00415D64" w:rsidRDefault="00415D64" w:rsidP="004A6D2F">
    <w:pPr>
      <w:pStyle w:val="Footer"/>
    </w:pPr>
    <w:r>
      <w:t>Do not use a footer or page numbers.</w:t>
    </w:r>
  </w:p>
  <w:p w14:paraId="7A21F5A3" w14:textId="77777777" w:rsidR="00415D64" w:rsidRDefault="00415D64" w:rsidP="004A6D2F">
    <w:pPr>
      <w:pStyle w:val="Footer"/>
    </w:pPr>
  </w:p>
  <w:p w14:paraId="03D97191" w14:textId="77777777" w:rsidR="00415D64" w:rsidRDefault="00415D64"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56276"/>
      <w:docPartObj>
        <w:docPartGallery w:val="Page Numbers (Bottom of Page)"/>
        <w:docPartUnique/>
      </w:docPartObj>
    </w:sdtPr>
    <w:sdtEndPr>
      <w:rPr>
        <w:noProof/>
      </w:rPr>
    </w:sdtEndPr>
    <w:sdtContent>
      <w:p w14:paraId="64D426D4" w14:textId="3FC663CD" w:rsidR="00543630" w:rsidRDefault="00543630">
        <w:pPr>
          <w:pStyle w:val="Footer"/>
          <w:jc w:val="center"/>
        </w:pPr>
        <w:r>
          <w:fldChar w:fldCharType="begin"/>
        </w:r>
        <w:r>
          <w:instrText xml:space="preserve"> PAGE   \* MERGEFORMAT </w:instrText>
        </w:r>
        <w:r>
          <w:fldChar w:fldCharType="separate"/>
        </w:r>
        <w:r w:rsidR="002E2C2B">
          <w:rPr>
            <w:noProof/>
          </w:rPr>
          <w:t>1</w:t>
        </w:r>
        <w:r>
          <w:rPr>
            <w:noProof/>
          </w:rPr>
          <w:fldChar w:fldCharType="end"/>
        </w:r>
      </w:p>
    </w:sdtContent>
  </w:sdt>
  <w:p w14:paraId="39E27360" w14:textId="77777777" w:rsidR="00415D64" w:rsidRDefault="00415D64"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636F" w14:textId="77777777" w:rsidR="00D317B1" w:rsidRDefault="00D317B1" w:rsidP="004A6D2F">
      <w:r>
        <w:separator/>
      </w:r>
    </w:p>
  </w:footnote>
  <w:footnote w:type="continuationSeparator" w:id="0">
    <w:p w14:paraId="6AE81173" w14:textId="77777777" w:rsidR="00D317B1" w:rsidRDefault="00D317B1"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7D29" w14:textId="77777777" w:rsidR="00415D64" w:rsidRDefault="00415D64" w:rsidP="00D5547E">
    <w:pPr>
      <w:pStyle w:val="Header"/>
      <w:jc w:val="right"/>
    </w:pPr>
    <w:r>
      <w:rPr>
        <w:noProof/>
      </w:rPr>
      <w:drawing>
        <wp:inline distT="0" distB="0" distL="0" distR="0" wp14:anchorId="7814B584" wp14:editId="4D847BAB">
          <wp:extent cx="843280" cy="1117600"/>
          <wp:effectExtent l="0" t="0" r="0" b="6350"/>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315"/>
    <w:multiLevelType w:val="hybridMultilevel"/>
    <w:tmpl w:val="8E189C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A37FB"/>
    <w:multiLevelType w:val="hybridMultilevel"/>
    <w:tmpl w:val="BEB60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CE1E61"/>
    <w:multiLevelType w:val="hybridMultilevel"/>
    <w:tmpl w:val="2D9AB4DC"/>
    <w:lvl w:ilvl="0" w:tplc="0809000F">
      <w:start w:val="1"/>
      <w:numFmt w:val="decimal"/>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5" w15:restartNumberingAfterBreak="0">
    <w:nsid w:val="105E1B56"/>
    <w:multiLevelType w:val="multilevel"/>
    <w:tmpl w:val="BB683F98"/>
    <w:lvl w:ilvl="0">
      <w:start w:val="17"/>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15934CE6"/>
    <w:multiLevelType w:val="hybridMultilevel"/>
    <w:tmpl w:val="8F927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197877"/>
    <w:multiLevelType w:val="hybridMultilevel"/>
    <w:tmpl w:val="81807B3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200176BF"/>
    <w:multiLevelType w:val="multilevel"/>
    <w:tmpl w:val="DDA0F388"/>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20980FC5"/>
    <w:multiLevelType w:val="hybridMultilevel"/>
    <w:tmpl w:val="5E32F9DA"/>
    <w:lvl w:ilvl="0" w:tplc="08090003">
      <w:start w:val="1"/>
      <w:numFmt w:val="bullet"/>
      <w:lvlText w:val="o"/>
      <w:lvlJc w:val="left"/>
      <w:pPr>
        <w:ind w:left="1352" w:hanging="360"/>
      </w:pPr>
      <w:rPr>
        <w:rFonts w:ascii="Courier New" w:hAnsi="Courier New" w:cs="Courier New" w:hint="default"/>
      </w:rPr>
    </w:lvl>
    <w:lvl w:ilvl="1" w:tplc="08090019">
      <w:start w:val="1"/>
      <w:numFmt w:val="lowerLetter"/>
      <w:lvlText w:val="%2."/>
      <w:lvlJc w:val="left"/>
      <w:pPr>
        <w:ind w:left="2072" w:hanging="360"/>
      </w:pPr>
    </w:lvl>
    <w:lvl w:ilvl="2" w:tplc="A68E2D16">
      <w:start w:val="1"/>
      <w:numFmt w:val="lowerLetter"/>
      <w:lvlText w:val="%3)"/>
      <w:lvlJc w:val="left"/>
      <w:pPr>
        <w:ind w:left="3162" w:hanging="550"/>
      </w:pPr>
      <w:rPr>
        <w:rFonts w:hint="default"/>
        <w:color w:val="000000"/>
        <w:sz w:val="24"/>
      </w:r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271E710C"/>
    <w:multiLevelType w:val="hybridMultilevel"/>
    <w:tmpl w:val="1B40E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7F6258"/>
    <w:multiLevelType w:val="hybridMultilevel"/>
    <w:tmpl w:val="5F96967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EE0771C"/>
    <w:multiLevelType w:val="multilevel"/>
    <w:tmpl w:val="DA6635B8"/>
    <w:lvl w:ilvl="0">
      <w:start w:val="1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08E6629"/>
    <w:multiLevelType w:val="hybridMultilevel"/>
    <w:tmpl w:val="E118014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4" w15:restartNumberingAfterBreak="0">
    <w:nsid w:val="31C331B6"/>
    <w:multiLevelType w:val="hybridMultilevel"/>
    <w:tmpl w:val="B77457F2"/>
    <w:lvl w:ilvl="0" w:tplc="5E24EE46">
      <w:start w:val="1"/>
      <w:numFmt w:val="bullet"/>
      <w:lvlText w:val=""/>
      <w:lvlJc w:val="left"/>
      <w:pPr>
        <w:ind w:left="928" w:hanging="360"/>
      </w:pPr>
      <w:rPr>
        <w:rFonts w:ascii="Symbol" w:hAnsi="Symbol" w:hint="default"/>
        <w:b/>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34D340B2"/>
    <w:multiLevelType w:val="multilevel"/>
    <w:tmpl w:val="264CB7EE"/>
    <w:lvl w:ilvl="0">
      <w:start w:val="9"/>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356D5BF5"/>
    <w:multiLevelType w:val="hybridMultilevel"/>
    <w:tmpl w:val="25BA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E4AA9"/>
    <w:multiLevelType w:val="multilevel"/>
    <w:tmpl w:val="1AE6539E"/>
    <w:lvl w:ilvl="0">
      <w:start w:val="19"/>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43B82827"/>
    <w:multiLevelType w:val="hybridMultilevel"/>
    <w:tmpl w:val="8D92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C5E15"/>
    <w:multiLevelType w:val="multilevel"/>
    <w:tmpl w:val="63F41184"/>
    <w:lvl w:ilvl="0">
      <w:start w:val="12"/>
      <w:numFmt w:val="decimal"/>
      <w:lvlText w:val="%1."/>
      <w:lvlJc w:val="left"/>
      <w:pPr>
        <w:tabs>
          <w:tab w:val="num" w:pos="2160"/>
        </w:tabs>
        <w:ind w:left="2160" w:hanging="720"/>
      </w:pPr>
      <w:rPr>
        <w:rFonts w:hint="default"/>
        <w:b/>
        <w:color w:val="auto"/>
      </w:rPr>
    </w:lvl>
    <w:lvl w:ilvl="1">
      <w:start w:val="1"/>
      <w:numFmt w:val="decimal"/>
      <w:lvlText w:val="%2."/>
      <w:lvlJc w:val="left"/>
      <w:pPr>
        <w:tabs>
          <w:tab w:val="num" w:pos="2880"/>
        </w:tabs>
        <w:ind w:left="2880" w:hanging="720"/>
      </w:pPr>
      <w:rPr>
        <w:rFonts w:hint="default"/>
        <w:b w:val="0"/>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20" w15:restartNumberingAfterBreak="0">
    <w:nsid w:val="53CE5250"/>
    <w:multiLevelType w:val="hybridMultilevel"/>
    <w:tmpl w:val="3D40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31C79"/>
    <w:multiLevelType w:val="hybridMultilevel"/>
    <w:tmpl w:val="B4B62D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E8F6438"/>
    <w:multiLevelType w:val="hybridMultilevel"/>
    <w:tmpl w:val="98B4D27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224BB9"/>
    <w:multiLevelType w:val="multilevel"/>
    <w:tmpl w:val="DDA0F388"/>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6B643796"/>
    <w:multiLevelType w:val="hybridMultilevel"/>
    <w:tmpl w:val="81E6DB54"/>
    <w:lvl w:ilvl="0" w:tplc="19343ACE">
      <w:start w:val="5"/>
      <w:numFmt w:val="lowerLetter"/>
      <w:lvlText w:val="%1)"/>
      <w:lvlJc w:val="left"/>
      <w:pPr>
        <w:ind w:left="2072" w:hanging="360"/>
      </w:pPr>
      <w:rPr>
        <w:rFonts w:hint="default"/>
      </w:rPr>
    </w:lvl>
    <w:lvl w:ilvl="1" w:tplc="08090019" w:tentative="1">
      <w:start w:val="1"/>
      <w:numFmt w:val="lowerLetter"/>
      <w:lvlText w:val="%2."/>
      <w:lvlJc w:val="left"/>
      <w:pPr>
        <w:ind w:left="2792" w:hanging="360"/>
      </w:pPr>
    </w:lvl>
    <w:lvl w:ilvl="2" w:tplc="0809001B" w:tentative="1">
      <w:start w:val="1"/>
      <w:numFmt w:val="lowerRoman"/>
      <w:lvlText w:val="%3."/>
      <w:lvlJc w:val="right"/>
      <w:pPr>
        <w:ind w:left="3512" w:hanging="180"/>
      </w:pPr>
    </w:lvl>
    <w:lvl w:ilvl="3" w:tplc="0809000F" w:tentative="1">
      <w:start w:val="1"/>
      <w:numFmt w:val="decimal"/>
      <w:lvlText w:val="%4."/>
      <w:lvlJc w:val="left"/>
      <w:pPr>
        <w:ind w:left="4232" w:hanging="360"/>
      </w:pPr>
    </w:lvl>
    <w:lvl w:ilvl="4" w:tplc="08090019" w:tentative="1">
      <w:start w:val="1"/>
      <w:numFmt w:val="lowerLetter"/>
      <w:lvlText w:val="%5."/>
      <w:lvlJc w:val="left"/>
      <w:pPr>
        <w:ind w:left="4952" w:hanging="360"/>
      </w:pPr>
    </w:lvl>
    <w:lvl w:ilvl="5" w:tplc="0809001B" w:tentative="1">
      <w:start w:val="1"/>
      <w:numFmt w:val="lowerRoman"/>
      <w:lvlText w:val="%6."/>
      <w:lvlJc w:val="right"/>
      <w:pPr>
        <w:ind w:left="5672" w:hanging="180"/>
      </w:pPr>
    </w:lvl>
    <w:lvl w:ilvl="6" w:tplc="0809000F" w:tentative="1">
      <w:start w:val="1"/>
      <w:numFmt w:val="decimal"/>
      <w:lvlText w:val="%7."/>
      <w:lvlJc w:val="left"/>
      <w:pPr>
        <w:ind w:left="6392" w:hanging="360"/>
      </w:pPr>
    </w:lvl>
    <w:lvl w:ilvl="7" w:tplc="08090019" w:tentative="1">
      <w:start w:val="1"/>
      <w:numFmt w:val="lowerLetter"/>
      <w:lvlText w:val="%8."/>
      <w:lvlJc w:val="left"/>
      <w:pPr>
        <w:ind w:left="7112" w:hanging="360"/>
      </w:pPr>
    </w:lvl>
    <w:lvl w:ilvl="8" w:tplc="0809001B" w:tentative="1">
      <w:start w:val="1"/>
      <w:numFmt w:val="lowerRoman"/>
      <w:lvlText w:val="%9."/>
      <w:lvlJc w:val="right"/>
      <w:pPr>
        <w:ind w:left="7832" w:hanging="180"/>
      </w:pPr>
    </w:lvl>
  </w:abstractNum>
  <w:abstractNum w:abstractNumId="26" w15:restartNumberingAfterBreak="0">
    <w:nsid w:val="6DEC4BF1"/>
    <w:multiLevelType w:val="hybridMultilevel"/>
    <w:tmpl w:val="53C403D8"/>
    <w:lvl w:ilvl="0" w:tplc="08090001">
      <w:start w:val="1"/>
      <w:numFmt w:val="bullet"/>
      <w:lvlText w:val=""/>
      <w:lvlJc w:val="left"/>
      <w:pPr>
        <w:ind w:left="2792" w:hanging="360"/>
      </w:pPr>
      <w:rPr>
        <w:rFonts w:ascii="Symbol" w:hAnsi="Symbol" w:hint="default"/>
      </w:rPr>
    </w:lvl>
    <w:lvl w:ilvl="1" w:tplc="08090003" w:tentative="1">
      <w:start w:val="1"/>
      <w:numFmt w:val="bullet"/>
      <w:lvlText w:val="o"/>
      <w:lvlJc w:val="left"/>
      <w:pPr>
        <w:ind w:left="3512" w:hanging="360"/>
      </w:pPr>
      <w:rPr>
        <w:rFonts w:ascii="Courier New" w:hAnsi="Courier New" w:cs="Courier New" w:hint="default"/>
      </w:rPr>
    </w:lvl>
    <w:lvl w:ilvl="2" w:tplc="08090005" w:tentative="1">
      <w:start w:val="1"/>
      <w:numFmt w:val="bullet"/>
      <w:lvlText w:val=""/>
      <w:lvlJc w:val="left"/>
      <w:pPr>
        <w:ind w:left="4232" w:hanging="360"/>
      </w:pPr>
      <w:rPr>
        <w:rFonts w:ascii="Wingdings" w:hAnsi="Wingdings" w:hint="default"/>
      </w:rPr>
    </w:lvl>
    <w:lvl w:ilvl="3" w:tplc="08090001" w:tentative="1">
      <w:start w:val="1"/>
      <w:numFmt w:val="bullet"/>
      <w:lvlText w:val=""/>
      <w:lvlJc w:val="left"/>
      <w:pPr>
        <w:ind w:left="4952" w:hanging="360"/>
      </w:pPr>
      <w:rPr>
        <w:rFonts w:ascii="Symbol" w:hAnsi="Symbol" w:hint="default"/>
      </w:rPr>
    </w:lvl>
    <w:lvl w:ilvl="4" w:tplc="08090003" w:tentative="1">
      <w:start w:val="1"/>
      <w:numFmt w:val="bullet"/>
      <w:lvlText w:val="o"/>
      <w:lvlJc w:val="left"/>
      <w:pPr>
        <w:ind w:left="5672" w:hanging="360"/>
      </w:pPr>
      <w:rPr>
        <w:rFonts w:ascii="Courier New" w:hAnsi="Courier New" w:cs="Courier New" w:hint="default"/>
      </w:rPr>
    </w:lvl>
    <w:lvl w:ilvl="5" w:tplc="08090005" w:tentative="1">
      <w:start w:val="1"/>
      <w:numFmt w:val="bullet"/>
      <w:lvlText w:val=""/>
      <w:lvlJc w:val="left"/>
      <w:pPr>
        <w:ind w:left="6392" w:hanging="360"/>
      </w:pPr>
      <w:rPr>
        <w:rFonts w:ascii="Wingdings" w:hAnsi="Wingdings" w:hint="default"/>
      </w:rPr>
    </w:lvl>
    <w:lvl w:ilvl="6" w:tplc="08090001" w:tentative="1">
      <w:start w:val="1"/>
      <w:numFmt w:val="bullet"/>
      <w:lvlText w:val=""/>
      <w:lvlJc w:val="left"/>
      <w:pPr>
        <w:ind w:left="7112" w:hanging="360"/>
      </w:pPr>
      <w:rPr>
        <w:rFonts w:ascii="Symbol" w:hAnsi="Symbol" w:hint="default"/>
      </w:rPr>
    </w:lvl>
    <w:lvl w:ilvl="7" w:tplc="08090003" w:tentative="1">
      <w:start w:val="1"/>
      <w:numFmt w:val="bullet"/>
      <w:lvlText w:val="o"/>
      <w:lvlJc w:val="left"/>
      <w:pPr>
        <w:ind w:left="7832" w:hanging="360"/>
      </w:pPr>
      <w:rPr>
        <w:rFonts w:ascii="Courier New" w:hAnsi="Courier New" w:cs="Courier New" w:hint="default"/>
      </w:rPr>
    </w:lvl>
    <w:lvl w:ilvl="8" w:tplc="08090005" w:tentative="1">
      <w:start w:val="1"/>
      <w:numFmt w:val="bullet"/>
      <w:lvlText w:val=""/>
      <w:lvlJc w:val="left"/>
      <w:pPr>
        <w:ind w:left="8552" w:hanging="360"/>
      </w:pPr>
      <w:rPr>
        <w:rFonts w:ascii="Wingdings" w:hAnsi="Wingdings" w:hint="default"/>
      </w:rPr>
    </w:lvl>
  </w:abstractNum>
  <w:abstractNum w:abstractNumId="27" w15:restartNumberingAfterBreak="0">
    <w:nsid w:val="702228C4"/>
    <w:multiLevelType w:val="multilevel"/>
    <w:tmpl w:val="DDA0F388"/>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70A53344"/>
    <w:multiLevelType w:val="hybridMultilevel"/>
    <w:tmpl w:val="DDDC0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98365C6"/>
    <w:multiLevelType w:val="multilevel"/>
    <w:tmpl w:val="E67CE66C"/>
    <w:numStyleLink w:val="StyleNumberedLeft0cmHanging075cm"/>
  </w:abstractNum>
  <w:num w:numId="1" w16cid:durableId="800927769">
    <w:abstractNumId w:val="1"/>
  </w:num>
  <w:num w:numId="2" w16cid:durableId="485318606">
    <w:abstractNumId w:val="29"/>
    <w:lvlOverride w:ilvl="0">
      <w:lvl w:ilvl="0">
        <w:start w:val="1"/>
        <w:numFmt w:val="decimal"/>
        <w:pStyle w:val="ListParagraph"/>
        <w:lvlText w:val="%1."/>
        <w:lvlJc w:val="left"/>
        <w:pPr>
          <w:ind w:left="785" w:hanging="360"/>
        </w:pPr>
        <w:rPr>
          <w:rFonts w:ascii="Arial" w:hAnsi="Arial"/>
          <w:b/>
          <w:bCs w:val="0"/>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 w16cid:durableId="1502113471">
    <w:abstractNumId w:val="9"/>
  </w:num>
  <w:num w:numId="4" w16cid:durableId="564412381">
    <w:abstractNumId w:val="2"/>
  </w:num>
  <w:num w:numId="5" w16cid:durableId="1899391303">
    <w:abstractNumId w:val="23"/>
  </w:num>
  <w:num w:numId="6" w16cid:durableId="1006902290">
    <w:abstractNumId w:val="8"/>
  </w:num>
  <w:num w:numId="7" w16cid:durableId="470177272">
    <w:abstractNumId w:val="0"/>
  </w:num>
  <w:num w:numId="8" w16cid:durableId="1276327695">
    <w:abstractNumId w:val="15"/>
  </w:num>
  <w:num w:numId="9" w16cid:durableId="10548158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463741">
    <w:abstractNumId w:val="29"/>
    <w:lvlOverride w:ilvl="0">
      <w:lvl w:ilvl="0">
        <w:start w:val="1"/>
        <w:numFmt w:val="decimal"/>
        <w:pStyle w:val="ListParagraph"/>
        <w:lvlText w:val="%1."/>
        <w:lvlJc w:val="left"/>
        <w:pPr>
          <w:ind w:left="502" w:hanging="360"/>
        </w:pPr>
        <w:rPr>
          <w:rFonts w:ascii="Arial" w:hAnsi="Arial"/>
          <w:b/>
          <w:color w:val="000000"/>
          <w:sz w:val="24"/>
        </w:rPr>
      </w:lvl>
    </w:lvlOverride>
  </w:num>
  <w:num w:numId="11" w16cid:durableId="1250192103">
    <w:abstractNumId w:val="29"/>
    <w:lvlOverride w:ilvl="0">
      <w:lvl w:ilvl="0">
        <w:start w:val="1"/>
        <w:numFmt w:val="decimal"/>
        <w:pStyle w:val="ListParagraph"/>
        <w:lvlText w:val="%1."/>
        <w:lvlJc w:val="left"/>
        <w:pPr>
          <w:ind w:left="502" w:hanging="360"/>
        </w:pPr>
        <w:rPr>
          <w:rFonts w:ascii="Arial" w:hAnsi="Arial"/>
          <w:b/>
          <w:color w:val="000000"/>
          <w:sz w:val="24"/>
        </w:rPr>
      </w:lvl>
    </w:lvlOverride>
  </w:num>
  <w:num w:numId="12" w16cid:durableId="413278583">
    <w:abstractNumId w:val="6"/>
  </w:num>
  <w:num w:numId="13" w16cid:durableId="1950696481">
    <w:abstractNumId w:val="14"/>
  </w:num>
  <w:num w:numId="14" w16cid:durableId="285939255">
    <w:abstractNumId w:val="27"/>
  </w:num>
  <w:num w:numId="15" w16cid:durableId="1398242799">
    <w:abstractNumId w:val="24"/>
  </w:num>
  <w:num w:numId="16" w16cid:durableId="1723678603">
    <w:abstractNumId w:val="9"/>
    <w:lvlOverride w:ilvl="0">
      <w:startOverride w:val="4"/>
    </w:lvlOverride>
  </w:num>
  <w:num w:numId="17" w16cid:durableId="1627664389">
    <w:abstractNumId w:val="13"/>
  </w:num>
  <w:num w:numId="18" w16cid:durableId="2025935577">
    <w:abstractNumId w:val="21"/>
  </w:num>
  <w:num w:numId="19" w16cid:durableId="2061589058">
    <w:abstractNumId w:val="4"/>
  </w:num>
  <w:num w:numId="20" w16cid:durableId="579758347">
    <w:abstractNumId w:val="10"/>
  </w:num>
  <w:num w:numId="21" w16cid:durableId="1694459272">
    <w:abstractNumId w:val="26"/>
  </w:num>
  <w:num w:numId="22" w16cid:durableId="1897231421">
    <w:abstractNumId w:val="25"/>
  </w:num>
  <w:num w:numId="23" w16cid:durableId="1389954629">
    <w:abstractNumId w:val="28"/>
  </w:num>
  <w:num w:numId="24" w16cid:durableId="521892815">
    <w:abstractNumId w:val="17"/>
  </w:num>
  <w:num w:numId="25" w16cid:durableId="466777094">
    <w:abstractNumId w:val="11"/>
  </w:num>
  <w:num w:numId="26" w16cid:durableId="830557473">
    <w:abstractNumId w:val="19"/>
  </w:num>
  <w:num w:numId="27" w16cid:durableId="967205276">
    <w:abstractNumId w:val="5"/>
  </w:num>
  <w:num w:numId="28" w16cid:durableId="1748914610">
    <w:abstractNumId w:val="20"/>
  </w:num>
  <w:num w:numId="29" w16cid:durableId="1341467147">
    <w:abstractNumId w:val="29"/>
    <w:lvlOverride w:ilvl="0">
      <w:lvl w:ilvl="0">
        <w:start w:val="1"/>
        <w:numFmt w:val="decimal"/>
        <w:pStyle w:val="ListParagraph"/>
        <w:lvlText w:val="%1."/>
        <w:lvlJc w:val="left"/>
        <w:pPr>
          <w:ind w:left="360" w:hanging="360"/>
        </w:pPr>
        <w:rPr>
          <w:rFonts w:ascii="Arial" w:hAnsi="Arial" w:hint="default"/>
          <w:b/>
          <w:color w:val="000000"/>
          <w:sz w:val="24"/>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0" w16cid:durableId="52584398">
    <w:abstractNumId w:val="29"/>
    <w:lvlOverride w:ilvl="0">
      <w:startOverride w:val="16"/>
      <w:lvl w:ilvl="0">
        <w:start w:val="16"/>
        <w:numFmt w:val="decimal"/>
        <w:pStyle w:val="ListParagraph"/>
        <w:lvlText w:val="%1."/>
        <w:lvlJc w:val="left"/>
        <w:pPr>
          <w:ind w:left="360" w:hanging="360"/>
        </w:pPr>
        <w:rPr>
          <w:rFonts w:ascii="Arial" w:hAnsi="Arial" w:hint="default"/>
          <w:b/>
          <w:color w:val="000000"/>
          <w:sz w:val="24"/>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1" w16cid:durableId="1612198596">
    <w:abstractNumId w:val="29"/>
    <w:lvlOverride w:ilvl="0">
      <w:startOverride w:val="9"/>
      <w:lvl w:ilvl="0">
        <w:start w:val="9"/>
        <w:numFmt w:val="decimal"/>
        <w:pStyle w:val="ListParagraph"/>
        <w:lvlText w:val="%1."/>
        <w:lvlJc w:val="left"/>
        <w:pPr>
          <w:ind w:left="360" w:hanging="360"/>
        </w:pPr>
        <w:rPr>
          <w:rFonts w:ascii="Arial" w:hAnsi="Arial" w:hint="default"/>
          <w:b/>
          <w:color w:val="000000"/>
          <w:sz w:val="24"/>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2" w16cid:durableId="1055738229">
    <w:abstractNumId w:val="29"/>
    <w:lvlOverride w:ilvl="0">
      <w:startOverride w:val="9"/>
      <w:lvl w:ilvl="0">
        <w:start w:val="9"/>
        <w:numFmt w:val="decimal"/>
        <w:pStyle w:val="ListParagraph"/>
        <w:lvlText w:val="%1."/>
        <w:lvlJc w:val="left"/>
        <w:pPr>
          <w:ind w:left="502" w:hanging="360"/>
        </w:pPr>
        <w:rPr>
          <w:rFonts w:ascii="Arial" w:hAnsi="Arial" w:hint="default"/>
          <w:b/>
          <w:color w:val="000000"/>
          <w:sz w:val="24"/>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3" w16cid:durableId="1163013069">
    <w:abstractNumId w:val="12"/>
  </w:num>
  <w:num w:numId="34" w16cid:durableId="717627429">
    <w:abstractNumId w:val="29"/>
    <w:lvlOverride w:ilvl="0">
      <w:startOverride w:val="16"/>
      <w:lvl w:ilvl="0">
        <w:start w:val="16"/>
        <w:numFmt w:val="decimal"/>
        <w:pStyle w:val="ListParagraph"/>
        <w:lvlText w:val="%1."/>
        <w:lvlJc w:val="left"/>
        <w:pPr>
          <w:ind w:left="502" w:hanging="360"/>
        </w:pPr>
        <w:rPr>
          <w:rFonts w:ascii="Arial" w:hAnsi="Arial" w:hint="default"/>
          <w:b/>
          <w:color w:val="000000"/>
          <w:sz w:val="24"/>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5" w16cid:durableId="144779395">
    <w:abstractNumId w:val="22"/>
  </w:num>
  <w:num w:numId="36" w16cid:durableId="1724480528">
    <w:abstractNumId w:val="29"/>
    <w:lvlOverride w:ilvl="0">
      <w:lvl w:ilvl="0">
        <w:start w:val="1"/>
        <w:numFmt w:val="decimal"/>
        <w:pStyle w:val="ListParagraph"/>
        <w:lvlText w:val="%1."/>
        <w:lvlJc w:val="left"/>
        <w:pPr>
          <w:ind w:left="643" w:hanging="360"/>
        </w:pPr>
        <w:rPr>
          <w:rFonts w:ascii="Arial" w:hAnsi="Arial" w:hint="default"/>
          <w:b/>
          <w:color w:val="000000"/>
          <w:sz w:val="24"/>
        </w:rPr>
      </w:lvl>
    </w:lvlOverride>
    <w:lvlOverride w:ilvl="1">
      <w:lvl w:ilvl="1">
        <w:start w:val="1"/>
        <w:numFmt w:val="lowerLetter"/>
        <w:lvlText w:val="%2."/>
        <w:lvlJc w:val="left"/>
        <w:pPr>
          <w:ind w:left="1221" w:hanging="360"/>
        </w:pPr>
        <w:rPr>
          <w:rFonts w:hint="default"/>
        </w:rPr>
      </w:lvl>
    </w:lvlOverride>
    <w:lvlOverride w:ilvl="2">
      <w:lvl w:ilvl="2">
        <w:start w:val="1"/>
        <w:numFmt w:val="lowerRoman"/>
        <w:lvlText w:val="%3."/>
        <w:lvlJc w:val="right"/>
        <w:pPr>
          <w:ind w:left="1941" w:hanging="180"/>
        </w:pPr>
        <w:rPr>
          <w:rFonts w:hint="default"/>
        </w:rPr>
      </w:lvl>
    </w:lvlOverride>
    <w:lvlOverride w:ilvl="3">
      <w:lvl w:ilvl="3">
        <w:start w:val="1"/>
        <w:numFmt w:val="decimal"/>
        <w:lvlText w:val="%4."/>
        <w:lvlJc w:val="left"/>
        <w:pPr>
          <w:ind w:left="2661" w:hanging="360"/>
        </w:pPr>
        <w:rPr>
          <w:rFonts w:hint="default"/>
        </w:rPr>
      </w:lvl>
    </w:lvlOverride>
    <w:lvlOverride w:ilvl="4">
      <w:lvl w:ilvl="4">
        <w:start w:val="1"/>
        <w:numFmt w:val="lowerLetter"/>
        <w:lvlText w:val="%5."/>
        <w:lvlJc w:val="left"/>
        <w:pPr>
          <w:ind w:left="3381" w:hanging="360"/>
        </w:pPr>
        <w:rPr>
          <w:rFonts w:hint="default"/>
        </w:rPr>
      </w:lvl>
    </w:lvlOverride>
    <w:lvlOverride w:ilvl="5">
      <w:lvl w:ilvl="5">
        <w:start w:val="1"/>
        <w:numFmt w:val="lowerRoman"/>
        <w:lvlText w:val="%6."/>
        <w:lvlJc w:val="right"/>
        <w:pPr>
          <w:ind w:left="4101" w:hanging="180"/>
        </w:pPr>
        <w:rPr>
          <w:rFonts w:hint="default"/>
        </w:rPr>
      </w:lvl>
    </w:lvlOverride>
    <w:lvlOverride w:ilvl="6">
      <w:lvl w:ilvl="6">
        <w:start w:val="1"/>
        <w:numFmt w:val="decimal"/>
        <w:lvlText w:val="%7."/>
        <w:lvlJc w:val="left"/>
        <w:pPr>
          <w:ind w:left="4821" w:hanging="360"/>
        </w:pPr>
        <w:rPr>
          <w:rFonts w:hint="default"/>
        </w:rPr>
      </w:lvl>
    </w:lvlOverride>
    <w:lvlOverride w:ilvl="7">
      <w:lvl w:ilvl="7">
        <w:start w:val="1"/>
        <w:numFmt w:val="lowerLetter"/>
        <w:lvlText w:val="%8."/>
        <w:lvlJc w:val="left"/>
        <w:pPr>
          <w:ind w:left="5541" w:hanging="360"/>
        </w:pPr>
        <w:rPr>
          <w:rFonts w:hint="default"/>
        </w:rPr>
      </w:lvl>
    </w:lvlOverride>
    <w:lvlOverride w:ilvl="8">
      <w:lvl w:ilvl="8">
        <w:start w:val="1"/>
        <w:numFmt w:val="lowerRoman"/>
        <w:lvlText w:val="%9."/>
        <w:lvlJc w:val="right"/>
        <w:pPr>
          <w:ind w:left="6261" w:hanging="180"/>
        </w:pPr>
        <w:rPr>
          <w:rFonts w:hint="default"/>
        </w:rPr>
      </w:lvl>
    </w:lvlOverride>
  </w:num>
  <w:num w:numId="37" w16cid:durableId="1603223230">
    <w:abstractNumId w:val="16"/>
  </w:num>
  <w:num w:numId="38" w16cid:durableId="2822565">
    <w:abstractNumId w:val="29"/>
    <w:lvlOverride w:ilvl="0">
      <w:lvl w:ilvl="0">
        <w:start w:val="1"/>
        <w:numFmt w:val="decimal"/>
        <w:pStyle w:val="ListParagraph"/>
        <w:lvlText w:val="%1."/>
        <w:lvlJc w:val="left"/>
        <w:pPr>
          <w:ind w:left="643" w:hanging="360"/>
        </w:pPr>
        <w:rPr>
          <w:rFonts w:ascii="Arial" w:hAnsi="Arial" w:hint="default"/>
          <w:b/>
          <w:color w:val="000000"/>
          <w:sz w:val="24"/>
        </w:rPr>
      </w:lvl>
    </w:lvlOverride>
    <w:lvlOverride w:ilvl="1">
      <w:lvl w:ilvl="1">
        <w:start w:val="1"/>
        <w:numFmt w:val="lowerLetter"/>
        <w:lvlText w:val="%2."/>
        <w:lvlJc w:val="left"/>
        <w:pPr>
          <w:ind w:left="1221" w:hanging="360"/>
        </w:pPr>
        <w:rPr>
          <w:rFonts w:hint="default"/>
        </w:rPr>
      </w:lvl>
    </w:lvlOverride>
    <w:lvlOverride w:ilvl="2">
      <w:lvl w:ilvl="2">
        <w:start w:val="1"/>
        <w:numFmt w:val="lowerRoman"/>
        <w:lvlText w:val="%3."/>
        <w:lvlJc w:val="right"/>
        <w:pPr>
          <w:ind w:left="1941" w:hanging="180"/>
        </w:pPr>
        <w:rPr>
          <w:rFonts w:hint="default"/>
        </w:rPr>
      </w:lvl>
    </w:lvlOverride>
    <w:lvlOverride w:ilvl="3">
      <w:lvl w:ilvl="3">
        <w:start w:val="1"/>
        <w:numFmt w:val="decimal"/>
        <w:lvlText w:val="%4."/>
        <w:lvlJc w:val="left"/>
        <w:pPr>
          <w:ind w:left="2661" w:hanging="360"/>
        </w:pPr>
        <w:rPr>
          <w:rFonts w:hint="default"/>
        </w:rPr>
      </w:lvl>
    </w:lvlOverride>
    <w:lvlOverride w:ilvl="4">
      <w:lvl w:ilvl="4">
        <w:start w:val="1"/>
        <w:numFmt w:val="lowerLetter"/>
        <w:lvlText w:val="%5."/>
        <w:lvlJc w:val="left"/>
        <w:pPr>
          <w:ind w:left="3381" w:hanging="360"/>
        </w:pPr>
        <w:rPr>
          <w:rFonts w:hint="default"/>
        </w:rPr>
      </w:lvl>
    </w:lvlOverride>
    <w:lvlOverride w:ilvl="5">
      <w:lvl w:ilvl="5">
        <w:start w:val="1"/>
        <w:numFmt w:val="lowerRoman"/>
        <w:lvlText w:val="%6."/>
        <w:lvlJc w:val="right"/>
        <w:pPr>
          <w:ind w:left="4101" w:hanging="180"/>
        </w:pPr>
        <w:rPr>
          <w:rFonts w:hint="default"/>
        </w:rPr>
      </w:lvl>
    </w:lvlOverride>
    <w:lvlOverride w:ilvl="6">
      <w:lvl w:ilvl="6">
        <w:start w:val="1"/>
        <w:numFmt w:val="decimal"/>
        <w:lvlText w:val="%7."/>
        <w:lvlJc w:val="left"/>
        <w:pPr>
          <w:ind w:left="4821" w:hanging="360"/>
        </w:pPr>
        <w:rPr>
          <w:rFonts w:hint="default"/>
        </w:rPr>
      </w:lvl>
    </w:lvlOverride>
    <w:lvlOverride w:ilvl="7">
      <w:lvl w:ilvl="7">
        <w:start w:val="1"/>
        <w:numFmt w:val="lowerLetter"/>
        <w:lvlText w:val="%8."/>
        <w:lvlJc w:val="left"/>
        <w:pPr>
          <w:ind w:left="5541" w:hanging="360"/>
        </w:pPr>
        <w:rPr>
          <w:rFonts w:hint="default"/>
        </w:rPr>
      </w:lvl>
    </w:lvlOverride>
    <w:lvlOverride w:ilvl="8">
      <w:lvl w:ilvl="8">
        <w:start w:val="1"/>
        <w:numFmt w:val="lowerRoman"/>
        <w:lvlText w:val="%9."/>
        <w:lvlJc w:val="right"/>
        <w:pPr>
          <w:ind w:left="6261" w:hanging="180"/>
        </w:pPr>
        <w:rPr>
          <w:rFonts w:hint="default"/>
        </w:rPr>
      </w:lvl>
    </w:lvlOverride>
  </w:num>
  <w:num w:numId="39" w16cid:durableId="1759014736">
    <w:abstractNumId w:val="7"/>
  </w:num>
  <w:num w:numId="40" w16cid:durableId="1919248821">
    <w:abstractNumId w:val="29"/>
    <w:lvlOverride w:ilvl="0">
      <w:lvl w:ilvl="0">
        <w:start w:val="1"/>
        <w:numFmt w:val="decimal"/>
        <w:pStyle w:val="ListParagraph"/>
        <w:lvlText w:val="%1."/>
        <w:lvlJc w:val="left"/>
        <w:pPr>
          <w:ind w:left="643" w:hanging="360"/>
        </w:pPr>
        <w:rPr>
          <w:rFonts w:ascii="Arial" w:hAnsi="Arial" w:hint="default"/>
          <w:b/>
          <w:color w:val="000000"/>
          <w:sz w:val="24"/>
        </w:rPr>
      </w:lvl>
    </w:lvlOverride>
    <w:lvlOverride w:ilvl="1">
      <w:lvl w:ilvl="1">
        <w:start w:val="1"/>
        <w:numFmt w:val="lowerLetter"/>
        <w:lvlText w:val="%2."/>
        <w:lvlJc w:val="left"/>
        <w:pPr>
          <w:ind w:left="1221" w:hanging="360"/>
        </w:pPr>
        <w:rPr>
          <w:rFonts w:hint="default"/>
        </w:rPr>
      </w:lvl>
    </w:lvlOverride>
    <w:lvlOverride w:ilvl="2">
      <w:lvl w:ilvl="2">
        <w:start w:val="1"/>
        <w:numFmt w:val="lowerRoman"/>
        <w:lvlText w:val="%3."/>
        <w:lvlJc w:val="right"/>
        <w:pPr>
          <w:ind w:left="1941" w:hanging="180"/>
        </w:pPr>
        <w:rPr>
          <w:rFonts w:hint="default"/>
        </w:rPr>
      </w:lvl>
    </w:lvlOverride>
    <w:lvlOverride w:ilvl="3">
      <w:lvl w:ilvl="3">
        <w:start w:val="1"/>
        <w:numFmt w:val="decimal"/>
        <w:lvlText w:val="%4."/>
        <w:lvlJc w:val="left"/>
        <w:pPr>
          <w:ind w:left="2661" w:hanging="360"/>
        </w:pPr>
        <w:rPr>
          <w:rFonts w:hint="default"/>
        </w:rPr>
      </w:lvl>
    </w:lvlOverride>
    <w:lvlOverride w:ilvl="4">
      <w:lvl w:ilvl="4">
        <w:start w:val="1"/>
        <w:numFmt w:val="lowerLetter"/>
        <w:lvlText w:val="%5."/>
        <w:lvlJc w:val="left"/>
        <w:pPr>
          <w:ind w:left="3381" w:hanging="360"/>
        </w:pPr>
        <w:rPr>
          <w:rFonts w:hint="default"/>
        </w:rPr>
      </w:lvl>
    </w:lvlOverride>
    <w:lvlOverride w:ilvl="5">
      <w:lvl w:ilvl="5">
        <w:start w:val="1"/>
        <w:numFmt w:val="lowerRoman"/>
        <w:lvlText w:val="%6."/>
        <w:lvlJc w:val="right"/>
        <w:pPr>
          <w:ind w:left="4101" w:hanging="180"/>
        </w:pPr>
        <w:rPr>
          <w:rFonts w:hint="default"/>
        </w:rPr>
      </w:lvl>
    </w:lvlOverride>
    <w:lvlOverride w:ilvl="6">
      <w:lvl w:ilvl="6">
        <w:start w:val="1"/>
        <w:numFmt w:val="decimal"/>
        <w:lvlText w:val="%7."/>
        <w:lvlJc w:val="left"/>
        <w:pPr>
          <w:ind w:left="4821" w:hanging="360"/>
        </w:pPr>
        <w:rPr>
          <w:rFonts w:hint="default"/>
        </w:rPr>
      </w:lvl>
    </w:lvlOverride>
    <w:lvlOverride w:ilvl="7">
      <w:lvl w:ilvl="7">
        <w:start w:val="1"/>
        <w:numFmt w:val="lowerLetter"/>
        <w:lvlText w:val="%8."/>
        <w:lvlJc w:val="left"/>
        <w:pPr>
          <w:ind w:left="5541" w:hanging="360"/>
        </w:pPr>
        <w:rPr>
          <w:rFonts w:hint="default"/>
        </w:rPr>
      </w:lvl>
    </w:lvlOverride>
    <w:lvlOverride w:ilvl="8">
      <w:lvl w:ilvl="8">
        <w:start w:val="1"/>
        <w:numFmt w:val="lowerRoman"/>
        <w:lvlText w:val="%9."/>
        <w:lvlJc w:val="right"/>
        <w:pPr>
          <w:ind w:left="6261" w:hanging="180"/>
        </w:pPr>
        <w:rPr>
          <w:rFonts w:hint="default"/>
        </w:rPr>
      </w:lvl>
    </w:lvlOverride>
  </w:num>
  <w:num w:numId="41" w16cid:durableId="404227689">
    <w:abstractNumId w:val="3"/>
  </w:num>
  <w:num w:numId="42" w16cid:durableId="1881015560">
    <w:abstractNumId w:val="29"/>
    <w:lvlOverride w:ilvl="0">
      <w:lvl w:ilvl="0">
        <w:start w:val="1"/>
        <w:numFmt w:val="decimal"/>
        <w:pStyle w:val="ListParagraph"/>
        <w:lvlText w:val="%1."/>
        <w:lvlJc w:val="left"/>
        <w:pPr>
          <w:ind w:left="785" w:hanging="360"/>
        </w:pPr>
        <w:rPr>
          <w:rFonts w:ascii="Arial" w:hAnsi="Arial" w:hint="default"/>
          <w:b/>
          <w:color w:val="000000"/>
          <w:sz w:val="24"/>
        </w:rPr>
      </w:lvl>
    </w:lvlOverride>
    <w:lvlOverride w:ilvl="1">
      <w:lvl w:ilvl="1">
        <w:start w:val="1"/>
        <w:numFmt w:val="lowerLetter"/>
        <w:lvlText w:val="%2."/>
        <w:lvlJc w:val="left"/>
        <w:pPr>
          <w:ind w:left="1221" w:hanging="360"/>
        </w:pPr>
        <w:rPr>
          <w:rFonts w:hint="default"/>
        </w:rPr>
      </w:lvl>
    </w:lvlOverride>
    <w:lvlOverride w:ilvl="2">
      <w:lvl w:ilvl="2">
        <w:start w:val="1"/>
        <w:numFmt w:val="lowerRoman"/>
        <w:lvlText w:val="%3."/>
        <w:lvlJc w:val="right"/>
        <w:pPr>
          <w:ind w:left="1941" w:hanging="180"/>
        </w:pPr>
        <w:rPr>
          <w:rFonts w:hint="default"/>
        </w:rPr>
      </w:lvl>
    </w:lvlOverride>
    <w:lvlOverride w:ilvl="3">
      <w:lvl w:ilvl="3">
        <w:start w:val="1"/>
        <w:numFmt w:val="decimal"/>
        <w:lvlText w:val="%4."/>
        <w:lvlJc w:val="left"/>
        <w:pPr>
          <w:ind w:left="2661" w:hanging="360"/>
        </w:pPr>
        <w:rPr>
          <w:rFonts w:hint="default"/>
        </w:rPr>
      </w:lvl>
    </w:lvlOverride>
    <w:lvlOverride w:ilvl="4">
      <w:lvl w:ilvl="4">
        <w:start w:val="1"/>
        <w:numFmt w:val="lowerLetter"/>
        <w:lvlText w:val="%5."/>
        <w:lvlJc w:val="left"/>
        <w:pPr>
          <w:ind w:left="3381" w:hanging="360"/>
        </w:pPr>
        <w:rPr>
          <w:rFonts w:hint="default"/>
        </w:rPr>
      </w:lvl>
    </w:lvlOverride>
    <w:lvlOverride w:ilvl="5">
      <w:lvl w:ilvl="5">
        <w:start w:val="1"/>
        <w:numFmt w:val="lowerRoman"/>
        <w:lvlText w:val="%6."/>
        <w:lvlJc w:val="right"/>
        <w:pPr>
          <w:ind w:left="4101" w:hanging="180"/>
        </w:pPr>
        <w:rPr>
          <w:rFonts w:hint="default"/>
        </w:rPr>
      </w:lvl>
    </w:lvlOverride>
    <w:lvlOverride w:ilvl="6">
      <w:lvl w:ilvl="6">
        <w:start w:val="1"/>
        <w:numFmt w:val="decimal"/>
        <w:lvlText w:val="%7."/>
        <w:lvlJc w:val="left"/>
        <w:pPr>
          <w:ind w:left="4821" w:hanging="360"/>
        </w:pPr>
        <w:rPr>
          <w:rFonts w:hint="default"/>
        </w:rPr>
      </w:lvl>
    </w:lvlOverride>
    <w:lvlOverride w:ilvl="7">
      <w:lvl w:ilvl="7">
        <w:start w:val="1"/>
        <w:numFmt w:val="lowerLetter"/>
        <w:lvlText w:val="%8."/>
        <w:lvlJc w:val="left"/>
        <w:pPr>
          <w:ind w:left="5541" w:hanging="360"/>
        </w:pPr>
        <w:rPr>
          <w:rFonts w:hint="default"/>
        </w:rPr>
      </w:lvl>
    </w:lvlOverride>
    <w:lvlOverride w:ilvl="8">
      <w:lvl w:ilvl="8">
        <w:start w:val="1"/>
        <w:numFmt w:val="lowerRoman"/>
        <w:lvlText w:val="%9."/>
        <w:lvlJc w:val="right"/>
        <w:pPr>
          <w:ind w:left="6261" w:hanging="180"/>
        </w:pPr>
        <w:rPr>
          <w:rFonts w:hint="default"/>
        </w:rPr>
      </w:lvl>
    </w:lvlOverride>
  </w:num>
  <w:num w:numId="43" w16cid:durableId="193350431">
    <w:abstractNumId w:val="29"/>
    <w:lvlOverride w:ilvl="0">
      <w:lvl w:ilvl="0">
        <w:start w:val="1"/>
        <w:numFmt w:val="decimal"/>
        <w:pStyle w:val="ListParagraph"/>
        <w:lvlText w:val="%1."/>
        <w:lvlJc w:val="left"/>
        <w:pPr>
          <w:ind w:left="785" w:hanging="360"/>
        </w:pPr>
        <w:rPr>
          <w:rFonts w:ascii="Arial" w:hAnsi="Arial" w:hint="default"/>
          <w:b/>
          <w:color w:val="000000"/>
          <w:sz w:val="24"/>
        </w:rPr>
      </w:lvl>
    </w:lvlOverride>
    <w:lvlOverride w:ilvl="1">
      <w:lvl w:ilvl="1">
        <w:start w:val="1"/>
        <w:numFmt w:val="lowerLetter"/>
        <w:lvlText w:val="%2."/>
        <w:lvlJc w:val="left"/>
        <w:pPr>
          <w:ind w:left="1221" w:hanging="360"/>
        </w:pPr>
        <w:rPr>
          <w:rFonts w:hint="default"/>
        </w:rPr>
      </w:lvl>
    </w:lvlOverride>
    <w:lvlOverride w:ilvl="2">
      <w:lvl w:ilvl="2">
        <w:start w:val="1"/>
        <w:numFmt w:val="lowerRoman"/>
        <w:lvlText w:val="%3."/>
        <w:lvlJc w:val="right"/>
        <w:pPr>
          <w:ind w:left="1941" w:hanging="180"/>
        </w:pPr>
        <w:rPr>
          <w:rFonts w:hint="default"/>
        </w:rPr>
      </w:lvl>
    </w:lvlOverride>
    <w:lvlOverride w:ilvl="3">
      <w:lvl w:ilvl="3">
        <w:start w:val="1"/>
        <w:numFmt w:val="decimal"/>
        <w:lvlText w:val="%4."/>
        <w:lvlJc w:val="left"/>
        <w:pPr>
          <w:ind w:left="2661" w:hanging="360"/>
        </w:pPr>
        <w:rPr>
          <w:rFonts w:hint="default"/>
        </w:rPr>
      </w:lvl>
    </w:lvlOverride>
    <w:lvlOverride w:ilvl="4">
      <w:lvl w:ilvl="4">
        <w:start w:val="1"/>
        <w:numFmt w:val="lowerLetter"/>
        <w:lvlText w:val="%5."/>
        <w:lvlJc w:val="left"/>
        <w:pPr>
          <w:ind w:left="3381" w:hanging="360"/>
        </w:pPr>
        <w:rPr>
          <w:rFonts w:hint="default"/>
        </w:rPr>
      </w:lvl>
    </w:lvlOverride>
    <w:lvlOverride w:ilvl="5">
      <w:lvl w:ilvl="5">
        <w:start w:val="1"/>
        <w:numFmt w:val="lowerRoman"/>
        <w:lvlText w:val="%6."/>
        <w:lvlJc w:val="right"/>
        <w:pPr>
          <w:ind w:left="4101" w:hanging="180"/>
        </w:pPr>
        <w:rPr>
          <w:rFonts w:hint="default"/>
        </w:rPr>
      </w:lvl>
    </w:lvlOverride>
    <w:lvlOverride w:ilvl="6">
      <w:lvl w:ilvl="6">
        <w:start w:val="1"/>
        <w:numFmt w:val="decimal"/>
        <w:lvlText w:val="%7."/>
        <w:lvlJc w:val="left"/>
        <w:pPr>
          <w:ind w:left="4821" w:hanging="360"/>
        </w:pPr>
        <w:rPr>
          <w:rFonts w:hint="default"/>
        </w:rPr>
      </w:lvl>
    </w:lvlOverride>
    <w:lvlOverride w:ilvl="7">
      <w:lvl w:ilvl="7">
        <w:start w:val="1"/>
        <w:numFmt w:val="lowerLetter"/>
        <w:lvlText w:val="%8."/>
        <w:lvlJc w:val="left"/>
        <w:pPr>
          <w:ind w:left="5541" w:hanging="360"/>
        </w:pPr>
        <w:rPr>
          <w:rFonts w:hint="default"/>
        </w:rPr>
      </w:lvl>
    </w:lvlOverride>
    <w:lvlOverride w:ilvl="8">
      <w:lvl w:ilvl="8">
        <w:start w:val="1"/>
        <w:numFmt w:val="lowerRoman"/>
        <w:lvlText w:val="%9."/>
        <w:lvlJc w:val="right"/>
        <w:pPr>
          <w:ind w:left="6261" w:hanging="180"/>
        </w:pPr>
        <w:rPr>
          <w:rFonts w:hint="default"/>
        </w:rPr>
      </w:lvl>
    </w:lvlOverride>
  </w:num>
  <w:num w:numId="44" w16cid:durableId="215356762">
    <w:abstractNumId w:val="18"/>
  </w:num>
  <w:num w:numId="45" w16cid:durableId="713695855">
    <w:abstractNumId w:val="29"/>
    <w:lvlOverride w:ilvl="0">
      <w:lvl w:ilvl="0">
        <w:start w:val="1"/>
        <w:numFmt w:val="decimal"/>
        <w:pStyle w:val="ListParagraph"/>
        <w:lvlText w:val="%1."/>
        <w:lvlJc w:val="left"/>
        <w:pPr>
          <w:ind w:left="785" w:hanging="360"/>
        </w:pPr>
        <w:rPr>
          <w:rFonts w:ascii="Arial" w:hAnsi="Arial" w:hint="default"/>
          <w:b/>
          <w:color w:val="000000"/>
          <w:sz w:val="24"/>
        </w:rPr>
      </w:lvl>
    </w:lvlOverride>
    <w:lvlOverride w:ilvl="1">
      <w:lvl w:ilvl="1">
        <w:start w:val="1"/>
        <w:numFmt w:val="lowerLetter"/>
        <w:lvlText w:val="%2."/>
        <w:lvlJc w:val="left"/>
        <w:pPr>
          <w:ind w:left="1221" w:hanging="360"/>
        </w:pPr>
        <w:rPr>
          <w:rFonts w:hint="default"/>
        </w:rPr>
      </w:lvl>
    </w:lvlOverride>
    <w:lvlOverride w:ilvl="2">
      <w:lvl w:ilvl="2">
        <w:start w:val="1"/>
        <w:numFmt w:val="lowerRoman"/>
        <w:lvlText w:val="%3."/>
        <w:lvlJc w:val="right"/>
        <w:pPr>
          <w:ind w:left="1941" w:hanging="180"/>
        </w:pPr>
        <w:rPr>
          <w:rFonts w:hint="default"/>
        </w:rPr>
      </w:lvl>
    </w:lvlOverride>
    <w:lvlOverride w:ilvl="3">
      <w:lvl w:ilvl="3">
        <w:start w:val="1"/>
        <w:numFmt w:val="decimal"/>
        <w:lvlText w:val="%4."/>
        <w:lvlJc w:val="left"/>
        <w:pPr>
          <w:ind w:left="2661" w:hanging="360"/>
        </w:pPr>
        <w:rPr>
          <w:rFonts w:hint="default"/>
        </w:rPr>
      </w:lvl>
    </w:lvlOverride>
    <w:lvlOverride w:ilvl="4">
      <w:lvl w:ilvl="4">
        <w:start w:val="1"/>
        <w:numFmt w:val="lowerLetter"/>
        <w:lvlText w:val="%5."/>
        <w:lvlJc w:val="left"/>
        <w:pPr>
          <w:ind w:left="3381" w:hanging="360"/>
        </w:pPr>
        <w:rPr>
          <w:rFonts w:hint="default"/>
        </w:rPr>
      </w:lvl>
    </w:lvlOverride>
    <w:lvlOverride w:ilvl="5">
      <w:lvl w:ilvl="5">
        <w:start w:val="1"/>
        <w:numFmt w:val="lowerRoman"/>
        <w:lvlText w:val="%6."/>
        <w:lvlJc w:val="right"/>
        <w:pPr>
          <w:ind w:left="4101" w:hanging="180"/>
        </w:pPr>
        <w:rPr>
          <w:rFonts w:hint="default"/>
        </w:rPr>
      </w:lvl>
    </w:lvlOverride>
    <w:lvlOverride w:ilvl="6">
      <w:lvl w:ilvl="6">
        <w:start w:val="1"/>
        <w:numFmt w:val="decimal"/>
        <w:lvlText w:val="%7."/>
        <w:lvlJc w:val="left"/>
        <w:pPr>
          <w:ind w:left="4821" w:hanging="360"/>
        </w:pPr>
        <w:rPr>
          <w:rFonts w:hint="default"/>
        </w:rPr>
      </w:lvl>
    </w:lvlOverride>
    <w:lvlOverride w:ilvl="7">
      <w:lvl w:ilvl="7">
        <w:start w:val="1"/>
        <w:numFmt w:val="lowerLetter"/>
        <w:lvlText w:val="%8."/>
        <w:lvlJc w:val="left"/>
        <w:pPr>
          <w:ind w:left="5541" w:hanging="360"/>
        </w:pPr>
        <w:rPr>
          <w:rFonts w:hint="default"/>
        </w:rPr>
      </w:lvl>
    </w:lvlOverride>
    <w:lvlOverride w:ilvl="8">
      <w:lvl w:ilvl="8">
        <w:start w:val="1"/>
        <w:numFmt w:val="lowerRoman"/>
        <w:lvlText w:val="%9."/>
        <w:lvlJc w:val="right"/>
        <w:pPr>
          <w:ind w:left="6261" w:hanging="180"/>
        </w:pPr>
        <w:rPr>
          <w:rFonts w:hint="default"/>
        </w:rPr>
      </w:lvl>
    </w:lvlOverride>
  </w:num>
  <w:num w:numId="46" w16cid:durableId="803743118">
    <w:abstractNumId w:val="29"/>
    <w:lvlOverride w:ilvl="0">
      <w:lvl w:ilvl="0">
        <w:start w:val="1"/>
        <w:numFmt w:val="decimal"/>
        <w:pStyle w:val="ListParagraph"/>
        <w:lvlText w:val="%1."/>
        <w:lvlJc w:val="left"/>
        <w:pPr>
          <w:ind w:left="785" w:hanging="360"/>
        </w:pPr>
        <w:rPr>
          <w:rFonts w:ascii="Arial" w:hAnsi="Arial" w:hint="default"/>
          <w:b/>
          <w:color w:val="000000"/>
          <w:sz w:val="24"/>
        </w:rPr>
      </w:lvl>
    </w:lvlOverride>
    <w:lvlOverride w:ilvl="1">
      <w:lvl w:ilvl="1">
        <w:start w:val="1"/>
        <w:numFmt w:val="lowerLetter"/>
        <w:lvlText w:val="%2."/>
        <w:lvlJc w:val="left"/>
        <w:pPr>
          <w:ind w:left="1221" w:hanging="360"/>
        </w:pPr>
        <w:rPr>
          <w:rFonts w:hint="default"/>
        </w:rPr>
      </w:lvl>
    </w:lvlOverride>
    <w:lvlOverride w:ilvl="2">
      <w:lvl w:ilvl="2">
        <w:start w:val="1"/>
        <w:numFmt w:val="lowerRoman"/>
        <w:lvlText w:val="%3."/>
        <w:lvlJc w:val="right"/>
        <w:pPr>
          <w:ind w:left="1941" w:hanging="180"/>
        </w:pPr>
        <w:rPr>
          <w:rFonts w:hint="default"/>
        </w:rPr>
      </w:lvl>
    </w:lvlOverride>
    <w:lvlOverride w:ilvl="3">
      <w:lvl w:ilvl="3">
        <w:start w:val="1"/>
        <w:numFmt w:val="decimal"/>
        <w:lvlText w:val="%4."/>
        <w:lvlJc w:val="left"/>
        <w:pPr>
          <w:ind w:left="2661" w:hanging="360"/>
        </w:pPr>
        <w:rPr>
          <w:rFonts w:hint="default"/>
        </w:rPr>
      </w:lvl>
    </w:lvlOverride>
    <w:lvlOverride w:ilvl="4">
      <w:lvl w:ilvl="4">
        <w:start w:val="1"/>
        <w:numFmt w:val="lowerLetter"/>
        <w:lvlText w:val="%5."/>
        <w:lvlJc w:val="left"/>
        <w:pPr>
          <w:ind w:left="3381" w:hanging="360"/>
        </w:pPr>
        <w:rPr>
          <w:rFonts w:hint="default"/>
        </w:rPr>
      </w:lvl>
    </w:lvlOverride>
    <w:lvlOverride w:ilvl="5">
      <w:lvl w:ilvl="5">
        <w:start w:val="1"/>
        <w:numFmt w:val="lowerRoman"/>
        <w:lvlText w:val="%6."/>
        <w:lvlJc w:val="right"/>
        <w:pPr>
          <w:ind w:left="4101" w:hanging="180"/>
        </w:pPr>
        <w:rPr>
          <w:rFonts w:hint="default"/>
        </w:rPr>
      </w:lvl>
    </w:lvlOverride>
    <w:lvlOverride w:ilvl="6">
      <w:lvl w:ilvl="6">
        <w:start w:val="1"/>
        <w:numFmt w:val="decimal"/>
        <w:lvlText w:val="%7."/>
        <w:lvlJc w:val="left"/>
        <w:pPr>
          <w:ind w:left="4821" w:hanging="360"/>
        </w:pPr>
        <w:rPr>
          <w:rFonts w:hint="default"/>
        </w:rPr>
      </w:lvl>
    </w:lvlOverride>
    <w:lvlOverride w:ilvl="7">
      <w:lvl w:ilvl="7">
        <w:start w:val="1"/>
        <w:numFmt w:val="lowerLetter"/>
        <w:lvlText w:val="%8."/>
        <w:lvlJc w:val="left"/>
        <w:pPr>
          <w:ind w:left="5541" w:hanging="360"/>
        </w:pPr>
        <w:rPr>
          <w:rFonts w:hint="default"/>
        </w:rPr>
      </w:lvl>
    </w:lvlOverride>
    <w:lvlOverride w:ilvl="8">
      <w:lvl w:ilvl="8">
        <w:start w:val="1"/>
        <w:numFmt w:val="lowerRoman"/>
        <w:lvlText w:val="%9."/>
        <w:lvlJc w:val="right"/>
        <w:pPr>
          <w:ind w:left="6261" w:hanging="180"/>
        </w:pPr>
        <w:rPr>
          <w:rFonts w:hint="default"/>
        </w:rPr>
      </w:lvl>
    </w:lvlOverride>
  </w:num>
  <w:num w:numId="47" w16cid:durableId="1326398078">
    <w:abstractNumId w:val="29"/>
    <w:lvlOverride w:ilvl="0">
      <w:lvl w:ilvl="0">
        <w:start w:val="1"/>
        <w:numFmt w:val="decimal"/>
        <w:pStyle w:val="ListParagraph"/>
        <w:lvlText w:val="%1."/>
        <w:lvlJc w:val="left"/>
        <w:pPr>
          <w:ind w:left="360" w:hanging="360"/>
        </w:pPr>
        <w:rPr>
          <w:rFonts w:ascii="Arial" w:hAnsi="Arial"/>
          <w:b/>
          <w:bCs w:val="0"/>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48" w16cid:durableId="573517243">
    <w:abstractNumId w:val="29"/>
    <w:lvlOverride w:ilvl="0">
      <w:lvl w:ilvl="0">
        <w:start w:val="1"/>
        <w:numFmt w:val="decimal"/>
        <w:pStyle w:val="ListParagraph"/>
        <w:lvlText w:val="%1."/>
        <w:lvlJc w:val="left"/>
        <w:pPr>
          <w:ind w:left="785" w:hanging="360"/>
        </w:pPr>
        <w:rPr>
          <w:rFonts w:ascii="Arial" w:hAnsi="Arial"/>
          <w:b/>
          <w:bCs w:val="0"/>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49" w16cid:durableId="1595017833">
    <w:abstractNumId w:val="29"/>
    <w:lvlOverride w:ilvl="0">
      <w:lvl w:ilvl="0">
        <w:start w:val="1"/>
        <w:numFmt w:val="decimal"/>
        <w:pStyle w:val="ListParagraph"/>
        <w:lvlText w:val="%1."/>
        <w:lvlJc w:val="left"/>
        <w:pPr>
          <w:ind w:left="785" w:hanging="360"/>
        </w:pPr>
        <w:rPr>
          <w:rFonts w:ascii="Arial" w:hAnsi="Arial"/>
          <w:b/>
          <w:bCs w:val="0"/>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117D4"/>
    <w:rsid w:val="00031663"/>
    <w:rsid w:val="00045F8B"/>
    <w:rsid w:val="00046703"/>
    <w:rsid w:val="00046D2B"/>
    <w:rsid w:val="000550C7"/>
    <w:rsid w:val="00056263"/>
    <w:rsid w:val="0006292C"/>
    <w:rsid w:val="00064D8A"/>
    <w:rsid w:val="00064F82"/>
    <w:rsid w:val="00065B89"/>
    <w:rsid w:val="00066510"/>
    <w:rsid w:val="00073457"/>
    <w:rsid w:val="00073E53"/>
    <w:rsid w:val="000743B7"/>
    <w:rsid w:val="00077523"/>
    <w:rsid w:val="00081673"/>
    <w:rsid w:val="00082E19"/>
    <w:rsid w:val="00085316"/>
    <w:rsid w:val="0008682E"/>
    <w:rsid w:val="00086C0A"/>
    <w:rsid w:val="00090F6D"/>
    <w:rsid w:val="000936A3"/>
    <w:rsid w:val="00096A60"/>
    <w:rsid w:val="000A4C26"/>
    <w:rsid w:val="000A6100"/>
    <w:rsid w:val="000C0500"/>
    <w:rsid w:val="000C089F"/>
    <w:rsid w:val="000C3928"/>
    <w:rsid w:val="000C3D74"/>
    <w:rsid w:val="000C5E8E"/>
    <w:rsid w:val="000D31F8"/>
    <w:rsid w:val="000E200B"/>
    <w:rsid w:val="000E29E7"/>
    <w:rsid w:val="000E4F65"/>
    <w:rsid w:val="000E6DC1"/>
    <w:rsid w:val="000F2972"/>
    <w:rsid w:val="000F4751"/>
    <w:rsid w:val="000F507F"/>
    <w:rsid w:val="001016AA"/>
    <w:rsid w:val="00103544"/>
    <w:rsid w:val="0010524C"/>
    <w:rsid w:val="00111FB1"/>
    <w:rsid w:val="00113070"/>
    <w:rsid w:val="00113418"/>
    <w:rsid w:val="00121863"/>
    <w:rsid w:val="00127227"/>
    <w:rsid w:val="00127ADB"/>
    <w:rsid w:val="00133E23"/>
    <w:rsid w:val="001353AC"/>
    <w:rsid w:val="001356F1"/>
    <w:rsid w:val="00136994"/>
    <w:rsid w:val="00137DE6"/>
    <w:rsid w:val="0014128E"/>
    <w:rsid w:val="00144A55"/>
    <w:rsid w:val="00151888"/>
    <w:rsid w:val="0015257B"/>
    <w:rsid w:val="001544C5"/>
    <w:rsid w:val="001549BB"/>
    <w:rsid w:val="00160349"/>
    <w:rsid w:val="001664BD"/>
    <w:rsid w:val="00170A2D"/>
    <w:rsid w:val="00170F5B"/>
    <w:rsid w:val="001754F9"/>
    <w:rsid w:val="001808BC"/>
    <w:rsid w:val="00182B81"/>
    <w:rsid w:val="00183E42"/>
    <w:rsid w:val="0018619D"/>
    <w:rsid w:val="00187E18"/>
    <w:rsid w:val="0019051E"/>
    <w:rsid w:val="00191F47"/>
    <w:rsid w:val="00197B1F"/>
    <w:rsid w:val="001A011E"/>
    <w:rsid w:val="001A066A"/>
    <w:rsid w:val="001A13E6"/>
    <w:rsid w:val="001A49DE"/>
    <w:rsid w:val="001A5731"/>
    <w:rsid w:val="001A5BA8"/>
    <w:rsid w:val="001A6636"/>
    <w:rsid w:val="001B0682"/>
    <w:rsid w:val="001B1DC5"/>
    <w:rsid w:val="001B42C3"/>
    <w:rsid w:val="001B4C90"/>
    <w:rsid w:val="001B5A09"/>
    <w:rsid w:val="001B73A1"/>
    <w:rsid w:val="001C5D5E"/>
    <w:rsid w:val="001D40B3"/>
    <w:rsid w:val="001D586A"/>
    <w:rsid w:val="001D678D"/>
    <w:rsid w:val="001E03A1"/>
    <w:rsid w:val="001E03F8"/>
    <w:rsid w:val="001E3376"/>
    <w:rsid w:val="001E5975"/>
    <w:rsid w:val="001E6F53"/>
    <w:rsid w:val="001F2356"/>
    <w:rsid w:val="001F3ED2"/>
    <w:rsid w:val="001F64C2"/>
    <w:rsid w:val="00200972"/>
    <w:rsid w:val="0020230C"/>
    <w:rsid w:val="00206568"/>
    <w:rsid w:val="002065C2"/>
    <w:rsid w:val="002069B3"/>
    <w:rsid w:val="00207B37"/>
    <w:rsid w:val="00212D40"/>
    <w:rsid w:val="00216736"/>
    <w:rsid w:val="002329CF"/>
    <w:rsid w:val="00232F5B"/>
    <w:rsid w:val="00240D65"/>
    <w:rsid w:val="00241C5F"/>
    <w:rsid w:val="00244B5A"/>
    <w:rsid w:val="00247C29"/>
    <w:rsid w:val="00250841"/>
    <w:rsid w:val="002558AA"/>
    <w:rsid w:val="00260467"/>
    <w:rsid w:val="00262011"/>
    <w:rsid w:val="00263EA3"/>
    <w:rsid w:val="00265C0A"/>
    <w:rsid w:val="00266583"/>
    <w:rsid w:val="0027311D"/>
    <w:rsid w:val="00273CBC"/>
    <w:rsid w:val="00275D62"/>
    <w:rsid w:val="00275E79"/>
    <w:rsid w:val="00283E92"/>
    <w:rsid w:val="00284F85"/>
    <w:rsid w:val="0028676B"/>
    <w:rsid w:val="00290915"/>
    <w:rsid w:val="00291BC1"/>
    <w:rsid w:val="00291CC3"/>
    <w:rsid w:val="002957CB"/>
    <w:rsid w:val="002978A2"/>
    <w:rsid w:val="002A0B67"/>
    <w:rsid w:val="002A1995"/>
    <w:rsid w:val="002A22E2"/>
    <w:rsid w:val="002A68B2"/>
    <w:rsid w:val="002A7655"/>
    <w:rsid w:val="002B1A83"/>
    <w:rsid w:val="002B69E7"/>
    <w:rsid w:val="002C29AC"/>
    <w:rsid w:val="002C64F7"/>
    <w:rsid w:val="002D423C"/>
    <w:rsid w:val="002E2C2B"/>
    <w:rsid w:val="002E6684"/>
    <w:rsid w:val="002F1DF8"/>
    <w:rsid w:val="002F2AEE"/>
    <w:rsid w:val="002F41F2"/>
    <w:rsid w:val="002F491B"/>
    <w:rsid w:val="002F59B3"/>
    <w:rsid w:val="00301BF3"/>
    <w:rsid w:val="0030208D"/>
    <w:rsid w:val="003113A2"/>
    <w:rsid w:val="003142D7"/>
    <w:rsid w:val="003144B2"/>
    <w:rsid w:val="00321202"/>
    <w:rsid w:val="00323418"/>
    <w:rsid w:val="003357BF"/>
    <w:rsid w:val="00340323"/>
    <w:rsid w:val="00340838"/>
    <w:rsid w:val="00340A41"/>
    <w:rsid w:val="003438EE"/>
    <w:rsid w:val="00343A97"/>
    <w:rsid w:val="0035284C"/>
    <w:rsid w:val="00363E6D"/>
    <w:rsid w:val="00364FAD"/>
    <w:rsid w:val="0036738F"/>
    <w:rsid w:val="0036759C"/>
    <w:rsid w:val="00367AE5"/>
    <w:rsid w:val="00367D71"/>
    <w:rsid w:val="00372667"/>
    <w:rsid w:val="00375DA7"/>
    <w:rsid w:val="0038150A"/>
    <w:rsid w:val="00381956"/>
    <w:rsid w:val="003875C0"/>
    <w:rsid w:val="0039227C"/>
    <w:rsid w:val="003A0DC8"/>
    <w:rsid w:val="003A327A"/>
    <w:rsid w:val="003A61E1"/>
    <w:rsid w:val="003B1C45"/>
    <w:rsid w:val="003B2BD9"/>
    <w:rsid w:val="003B6E75"/>
    <w:rsid w:val="003C192C"/>
    <w:rsid w:val="003C40CA"/>
    <w:rsid w:val="003C609F"/>
    <w:rsid w:val="003D0379"/>
    <w:rsid w:val="003D2574"/>
    <w:rsid w:val="003D4C59"/>
    <w:rsid w:val="003D5C8D"/>
    <w:rsid w:val="003D7AC6"/>
    <w:rsid w:val="003E11C9"/>
    <w:rsid w:val="003F29A2"/>
    <w:rsid w:val="003F4267"/>
    <w:rsid w:val="00401265"/>
    <w:rsid w:val="00404032"/>
    <w:rsid w:val="0040494B"/>
    <w:rsid w:val="00404DC0"/>
    <w:rsid w:val="00405F70"/>
    <w:rsid w:val="0040736F"/>
    <w:rsid w:val="004127E7"/>
    <w:rsid w:val="00412C1F"/>
    <w:rsid w:val="00415D64"/>
    <w:rsid w:val="00420227"/>
    <w:rsid w:val="0042065D"/>
    <w:rsid w:val="00421CB2"/>
    <w:rsid w:val="00425F63"/>
    <w:rsid w:val="004268B9"/>
    <w:rsid w:val="00431D40"/>
    <w:rsid w:val="00433B2E"/>
    <w:rsid w:val="00433B96"/>
    <w:rsid w:val="00443DF5"/>
    <w:rsid w:val="004440F1"/>
    <w:rsid w:val="004456DD"/>
    <w:rsid w:val="00446CDF"/>
    <w:rsid w:val="004521B7"/>
    <w:rsid w:val="0045348D"/>
    <w:rsid w:val="0045440B"/>
    <w:rsid w:val="00457108"/>
    <w:rsid w:val="00457E5C"/>
    <w:rsid w:val="00462AB5"/>
    <w:rsid w:val="00464107"/>
    <w:rsid w:val="00465EAF"/>
    <w:rsid w:val="00466A3F"/>
    <w:rsid w:val="00470C18"/>
    <w:rsid w:val="00470E51"/>
    <w:rsid w:val="004738C5"/>
    <w:rsid w:val="004866F9"/>
    <w:rsid w:val="00491046"/>
    <w:rsid w:val="00492092"/>
    <w:rsid w:val="0049498A"/>
    <w:rsid w:val="00496FAD"/>
    <w:rsid w:val="004A2AC7"/>
    <w:rsid w:val="004A3058"/>
    <w:rsid w:val="004A4453"/>
    <w:rsid w:val="004A5337"/>
    <w:rsid w:val="004A6D2F"/>
    <w:rsid w:val="004A7D65"/>
    <w:rsid w:val="004B348B"/>
    <w:rsid w:val="004C2887"/>
    <w:rsid w:val="004C66C9"/>
    <w:rsid w:val="004C6B6F"/>
    <w:rsid w:val="004D2588"/>
    <w:rsid w:val="004D2626"/>
    <w:rsid w:val="004D6E26"/>
    <w:rsid w:val="004D6FEB"/>
    <w:rsid w:val="004D77D3"/>
    <w:rsid w:val="004E288A"/>
    <w:rsid w:val="004E2959"/>
    <w:rsid w:val="004E3CB9"/>
    <w:rsid w:val="004F20EF"/>
    <w:rsid w:val="004F6171"/>
    <w:rsid w:val="0050321C"/>
    <w:rsid w:val="00506073"/>
    <w:rsid w:val="005132E8"/>
    <w:rsid w:val="00513D82"/>
    <w:rsid w:val="005162B8"/>
    <w:rsid w:val="00527ED6"/>
    <w:rsid w:val="00530C1B"/>
    <w:rsid w:val="005352F8"/>
    <w:rsid w:val="005353DA"/>
    <w:rsid w:val="005429A7"/>
    <w:rsid w:val="00543630"/>
    <w:rsid w:val="00543B6A"/>
    <w:rsid w:val="00546186"/>
    <w:rsid w:val="0054712D"/>
    <w:rsid w:val="00547EF6"/>
    <w:rsid w:val="00550929"/>
    <w:rsid w:val="00550DF2"/>
    <w:rsid w:val="00554BA2"/>
    <w:rsid w:val="005570B5"/>
    <w:rsid w:val="005629D6"/>
    <w:rsid w:val="00567E18"/>
    <w:rsid w:val="0057245F"/>
    <w:rsid w:val="00575F5F"/>
    <w:rsid w:val="00581805"/>
    <w:rsid w:val="00585F76"/>
    <w:rsid w:val="005875B9"/>
    <w:rsid w:val="00587AEC"/>
    <w:rsid w:val="00587D7C"/>
    <w:rsid w:val="00591BC5"/>
    <w:rsid w:val="00593E88"/>
    <w:rsid w:val="005A2220"/>
    <w:rsid w:val="005A34E4"/>
    <w:rsid w:val="005A41E7"/>
    <w:rsid w:val="005A4E76"/>
    <w:rsid w:val="005B17F2"/>
    <w:rsid w:val="005B39EE"/>
    <w:rsid w:val="005B5C86"/>
    <w:rsid w:val="005B7150"/>
    <w:rsid w:val="005B7FB0"/>
    <w:rsid w:val="005C2016"/>
    <w:rsid w:val="005C35A5"/>
    <w:rsid w:val="005C577C"/>
    <w:rsid w:val="005D0621"/>
    <w:rsid w:val="005D18A1"/>
    <w:rsid w:val="005D1E27"/>
    <w:rsid w:val="005D409C"/>
    <w:rsid w:val="005E022E"/>
    <w:rsid w:val="005E5215"/>
    <w:rsid w:val="005F1198"/>
    <w:rsid w:val="005F4891"/>
    <w:rsid w:val="005F7F7E"/>
    <w:rsid w:val="006058CA"/>
    <w:rsid w:val="00605FC9"/>
    <w:rsid w:val="00614693"/>
    <w:rsid w:val="00623C2F"/>
    <w:rsid w:val="00632A88"/>
    <w:rsid w:val="00633578"/>
    <w:rsid w:val="00633EFC"/>
    <w:rsid w:val="00637068"/>
    <w:rsid w:val="0063756A"/>
    <w:rsid w:val="00643586"/>
    <w:rsid w:val="00650811"/>
    <w:rsid w:val="0065150C"/>
    <w:rsid w:val="00661D3E"/>
    <w:rsid w:val="00664B3A"/>
    <w:rsid w:val="00671CB7"/>
    <w:rsid w:val="006753E5"/>
    <w:rsid w:val="006802DC"/>
    <w:rsid w:val="00680EBE"/>
    <w:rsid w:val="00692627"/>
    <w:rsid w:val="006942A5"/>
    <w:rsid w:val="00696645"/>
    <w:rsid w:val="006969E7"/>
    <w:rsid w:val="00697D44"/>
    <w:rsid w:val="006A156A"/>
    <w:rsid w:val="006A3643"/>
    <w:rsid w:val="006A5D45"/>
    <w:rsid w:val="006B13B3"/>
    <w:rsid w:val="006B51DF"/>
    <w:rsid w:val="006B53C5"/>
    <w:rsid w:val="006C140D"/>
    <w:rsid w:val="006C2A29"/>
    <w:rsid w:val="006C2C7B"/>
    <w:rsid w:val="006C38E0"/>
    <w:rsid w:val="006C64CF"/>
    <w:rsid w:val="006C75BC"/>
    <w:rsid w:val="006D17B1"/>
    <w:rsid w:val="006D708A"/>
    <w:rsid w:val="006E14C1"/>
    <w:rsid w:val="006E3A55"/>
    <w:rsid w:val="006E60B3"/>
    <w:rsid w:val="006F0292"/>
    <w:rsid w:val="006F1CD2"/>
    <w:rsid w:val="006F416B"/>
    <w:rsid w:val="006F519B"/>
    <w:rsid w:val="006F7AF0"/>
    <w:rsid w:val="007073DD"/>
    <w:rsid w:val="00713675"/>
    <w:rsid w:val="00715823"/>
    <w:rsid w:val="00724B1F"/>
    <w:rsid w:val="00737B93"/>
    <w:rsid w:val="00742011"/>
    <w:rsid w:val="0074584F"/>
    <w:rsid w:val="00745BF0"/>
    <w:rsid w:val="00746444"/>
    <w:rsid w:val="007467F0"/>
    <w:rsid w:val="00757AF8"/>
    <w:rsid w:val="007615FE"/>
    <w:rsid w:val="00765999"/>
    <w:rsid w:val="0076655C"/>
    <w:rsid w:val="007702BA"/>
    <w:rsid w:val="007742DC"/>
    <w:rsid w:val="00783110"/>
    <w:rsid w:val="00786331"/>
    <w:rsid w:val="00791437"/>
    <w:rsid w:val="007A07B7"/>
    <w:rsid w:val="007A143B"/>
    <w:rsid w:val="007A381E"/>
    <w:rsid w:val="007B0C2C"/>
    <w:rsid w:val="007B278E"/>
    <w:rsid w:val="007B3587"/>
    <w:rsid w:val="007C04F7"/>
    <w:rsid w:val="007C1201"/>
    <w:rsid w:val="007C1CB4"/>
    <w:rsid w:val="007C5C23"/>
    <w:rsid w:val="007C61AD"/>
    <w:rsid w:val="007D166D"/>
    <w:rsid w:val="007D3153"/>
    <w:rsid w:val="007D6D19"/>
    <w:rsid w:val="007E2A26"/>
    <w:rsid w:val="007E7424"/>
    <w:rsid w:val="007F2204"/>
    <w:rsid w:val="007F2348"/>
    <w:rsid w:val="00803F07"/>
    <w:rsid w:val="0080749A"/>
    <w:rsid w:val="008115D5"/>
    <w:rsid w:val="00815EF4"/>
    <w:rsid w:val="00816624"/>
    <w:rsid w:val="0081751B"/>
    <w:rsid w:val="00820D2E"/>
    <w:rsid w:val="00821AAF"/>
    <w:rsid w:val="00821FB8"/>
    <w:rsid w:val="00822744"/>
    <w:rsid w:val="00822ACD"/>
    <w:rsid w:val="00823310"/>
    <w:rsid w:val="00827713"/>
    <w:rsid w:val="00827FC2"/>
    <w:rsid w:val="0083032F"/>
    <w:rsid w:val="008341A0"/>
    <w:rsid w:val="008360F4"/>
    <w:rsid w:val="0084283E"/>
    <w:rsid w:val="00846323"/>
    <w:rsid w:val="00851285"/>
    <w:rsid w:val="008515F3"/>
    <w:rsid w:val="00854548"/>
    <w:rsid w:val="00854D5A"/>
    <w:rsid w:val="00855C66"/>
    <w:rsid w:val="008563FB"/>
    <w:rsid w:val="008578E6"/>
    <w:rsid w:val="008600B7"/>
    <w:rsid w:val="00860A8D"/>
    <w:rsid w:val="00861170"/>
    <w:rsid w:val="00861B4B"/>
    <w:rsid w:val="0086620C"/>
    <w:rsid w:val="00871EE4"/>
    <w:rsid w:val="008763A5"/>
    <w:rsid w:val="00893F1F"/>
    <w:rsid w:val="008968A0"/>
    <w:rsid w:val="00896FB7"/>
    <w:rsid w:val="008A1293"/>
    <w:rsid w:val="008A228D"/>
    <w:rsid w:val="008A4344"/>
    <w:rsid w:val="008A6F5B"/>
    <w:rsid w:val="008B293F"/>
    <w:rsid w:val="008B4A41"/>
    <w:rsid w:val="008B4E07"/>
    <w:rsid w:val="008B7371"/>
    <w:rsid w:val="008C15D7"/>
    <w:rsid w:val="008C1D8C"/>
    <w:rsid w:val="008C31E6"/>
    <w:rsid w:val="008C51C5"/>
    <w:rsid w:val="008C7F51"/>
    <w:rsid w:val="008D3DDB"/>
    <w:rsid w:val="008E4BF9"/>
    <w:rsid w:val="008E5D4A"/>
    <w:rsid w:val="008F13F1"/>
    <w:rsid w:val="008F573F"/>
    <w:rsid w:val="009034EC"/>
    <w:rsid w:val="00906BD8"/>
    <w:rsid w:val="009150CE"/>
    <w:rsid w:val="0092102E"/>
    <w:rsid w:val="009263D0"/>
    <w:rsid w:val="00926425"/>
    <w:rsid w:val="0093067A"/>
    <w:rsid w:val="00941C60"/>
    <w:rsid w:val="00954695"/>
    <w:rsid w:val="0095566B"/>
    <w:rsid w:val="00955BE2"/>
    <w:rsid w:val="00963FC5"/>
    <w:rsid w:val="0096669F"/>
    <w:rsid w:val="00966D42"/>
    <w:rsid w:val="0097096B"/>
    <w:rsid w:val="00971689"/>
    <w:rsid w:val="00973E90"/>
    <w:rsid w:val="00975B07"/>
    <w:rsid w:val="00980B4A"/>
    <w:rsid w:val="009837A5"/>
    <w:rsid w:val="00990A7D"/>
    <w:rsid w:val="009929C5"/>
    <w:rsid w:val="00994692"/>
    <w:rsid w:val="009A0F89"/>
    <w:rsid w:val="009B1263"/>
    <w:rsid w:val="009B4032"/>
    <w:rsid w:val="009B6B57"/>
    <w:rsid w:val="009C66E3"/>
    <w:rsid w:val="009C694E"/>
    <w:rsid w:val="009D32B1"/>
    <w:rsid w:val="009D7F90"/>
    <w:rsid w:val="009E2F02"/>
    <w:rsid w:val="009E36E1"/>
    <w:rsid w:val="009E3D0A"/>
    <w:rsid w:val="009E51FC"/>
    <w:rsid w:val="009E6990"/>
    <w:rsid w:val="009F1D28"/>
    <w:rsid w:val="009F2FF1"/>
    <w:rsid w:val="009F4FA8"/>
    <w:rsid w:val="009F7618"/>
    <w:rsid w:val="009F7EE2"/>
    <w:rsid w:val="00A04D23"/>
    <w:rsid w:val="00A05379"/>
    <w:rsid w:val="00A06766"/>
    <w:rsid w:val="00A12C30"/>
    <w:rsid w:val="00A12F26"/>
    <w:rsid w:val="00A13765"/>
    <w:rsid w:val="00A15C4A"/>
    <w:rsid w:val="00A21B12"/>
    <w:rsid w:val="00A23F80"/>
    <w:rsid w:val="00A26C84"/>
    <w:rsid w:val="00A333CE"/>
    <w:rsid w:val="00A34C04"/>
    <w:rsid w:val="00A3554E"/>
    <w:rsid w:val="00A4076C"/>
    <w:rsid w:val="00A411A3"/>
    <w:rsid w:val="00A44635"/>
    <w:rsid w:val="00A44ACD"/>
    <w:rsid w:val="00A45BDA"/>
    <w:rsid w:val="00A46E98"/>
    <w:rsid w:val="00A50798"/>
    <w:rsid w:val="00A51B6E"/>
    <w:rsid w:val="00A55715"/>
    <w:rsid w:val="00A603BB"/>
    <w:rsid w:val="00A6352B"/>
    <w:rsid w:val="00A67DED"/>
    <w:rsid w:val="00A701B5"/>
    <w:rsid w:val="00A714BB"/>
    <w:rsid w:val="00A76BA1"/>
    <w:rsid w:val="00A83B42"/>
    <w:rsid w:val="00A84C0F"/>
    <w:rsid w:val="00A85798"/>
    <w:rsid w:val="00A86A90"/>
    <w:rsid w:val="00A92D8F"/>
    <w:rsid w:val="00A9534A"/>
    <w:rsid w:val="00A97D2A"/>
    <w:rsid w:val="00AA378B"/>
    <w:rsid w:val="00AA4877"/>
    <w:rsid w:val="00AB2988"/>
    <w:rsid w:val="00AB3032"/>
    <w:rsid w:val="00AB39E2"/>
    <w:rsid w:val="00AB5B5D"/>
    <w:rsid w:val="00AB6B88"/>
    <w:rsid w:val="00AB7999"/>
    <w:rsid w:val="00AC153A"/>
    <w:rsid w:val="00AD3292"/>
    <w:rsid w:val="00AD541D"/>
    <w:rsid w:val="00AD7188"/>
    <w:rsid w:val="00AE7AF0"/>
    <w:rsid w:val="00AF3BA6"/>
    <w:rsid w:val="00AF7791"/>
    <w:rsid w:val="00B036CB"/>
    <w:rsid w:val="00B04570"/>
    <w:rsid w:val="00B06D7B"/>
    <w:rsid w:val="00B13143"/>
    <w:rsid w:val="00B148F9"/>
    <w:rsid w:val="00B17033"/>
    <w:rsid w:val="00B22353"/>
    <w:rsid w:val="00B242C2"/>
    <w:rsid w:val="00B25060"/>
    <w:rsid w:val="00B26519"/>
    <w:rsid w:val="00B366CC"/>
    <w:rsid w:val="00B37625"/>
    <w:rsid w:val="00B42401"/>
    <w:rsid w:val="00B42D83"/>
    <w:rsid w:val="00B500CA"/>
    <w:rsid w:val="00B52019"/>
    <w:rsid w:val="00B52BC0"/>
    <w:rsid w:val="00B54C9E"/>
    <w:rsid w:val="00B5553F"/>
    <w:rsid w:val="00B558E1"/>
    <w:rsid w:val="00B57F31"/>
    <w:rsid w:val="00B608E3"/>
    <w:rsid w:val="00B62883"/>
    <w:rsid w:val="00B6680C"/>
    <w:rsid w:val="00B70062"/>
    <w:rsid w:val="00B70981"/>
    <w:rsid w:val="00B71DD1"/>
    <w:rsid w:val="00B72E4E"/>
    <w:rsid w:val="00B759D4"/>
    <w:rsid w:val="00B7799F"/>
    <w:rsid w:val="00B86314"/>
    <w:rsid w:val="00B871CB"/>
    <w:rsid w:val="00B9347F"/>
    <w:rsid w:val="00BA1C2E"/>
    <w:rsid w:val="00BA5A52"/>
    <w:rsid w:val="00BB003A"/>
    <w:rsid w:val="00BB08E0"/>
    <w:rsid w:val="00BB0D56"/>
    <w:rsid w:val="00BB3F1C"/>
    <w:rsid w:val="00BC200B"/>
    <w:rsid w:val="00BC4756"/>
    <w:rsid w:val="00BC6812"/>
    <w:rsid w:val="00BC69A4"/>
    <w:rsid w:val="00BD02F6"/>
    <w:rsid w:val="00BD1775"/>
    <w:rsid w:val="00BD56DF"/>
    <w:rsid w:val="00BD7967"/>
    <w:rsid w:val="00BE0680"/>
    <w:rsid w:val="00BE305F"/>
    <w:rsid w:val="00BE6958"/>
    <w:rsid w:val="00BE7BA3"/>
    <w:rsid w:val="00BE7E79"/>
    <w:rsid w:val="00BF1377"/>
    <w:rsid w:val="00BF5682"/>
    <w:rsid w:val="00BF7B09"/>
    <w:rsid w:val="00C01FDE"/>
    <w:rsid w:val="00C0541B"/>
    <w:rsid w:val="00C145F1"/>
    <w:rsid w:val="00C20613"/>
    <w:rsid w:val="00C20A95"/>
    <w:rsid w:val="00C2323E"/>
    <w:rsid w:val="00C249C2"/>
    <w:rsid w:val="00C254C7"/>
    <w:rsid w:val="00C2692F"/>
    <w:rsid w:val="00C30D89"/>
    <w:rsid w:val="00C3207C"/>
    <w:rsid w:val="00C36AD7"/>
    <w:rsid w:val="00C400E1"/>
    <w:rsid w:val="00C41187"/>
    <w:rsid w:val="00C42476"/>
    <w:rsid w:val="00C4671F"/>
    <w:rsid w:val="00C47C75"/>
    <w:rsid w:val="00C57BFB"/>
    <w:rsid w:val="00C63C31"/>
    <w:rsid w:val="00C66C05"/>
    <w:rsid w:val="00C677C2"/>
    <w:rsid w:val="00C757A0"/>
    <w:rsid w:val="00C760DE"/>
    <w:rsid w:val="00C82630"/>
    <w:rsid w:val="00C83735"/>
    <w:rsid w:val="00C845CB"/>
    <w:rsid w:val="00C84953"/>
    <w:rsid w:val="00C85A15"/>
    <w:rsid w:val="00C85B4E"/>
    <w:rsid w:val="00C90457"/>
    <w:rsid w:val="00C907F7"/>
    <w:rsid w:val="00C931FE"/>
    <w:rsid w:val="00C936DB"/>
    <w:rsid w:val="00CA2103"/>
    <w:rsid w:val="00CB0535"/>
    <w:rsid w:val="00CB5800"/>
    <w:rsid w:val="00CB6B99"/>
    <w:rsid w:val="00CC1447"/>
    <w:rsid w:val="00CC3A77"/>
    <w:rsid w:val="00CD235E"/>
    <w:rsid w:val="00CD3031"/>
    <w:rsid w:val="00CE02B6"/>
    <w:rsid w:val="00CE2631"/>
    <w:rsid w:val="00CE4C87"/>
    <w:rsid w:val="00CE544A"/>
    <w:rsid w:val="00D0227B"/>
    <w:rsid w:val="00D02A09"/>
    <w:rsid w:val="00D1064E"/>
    <w:rsid w:val="00D11E1C"/>
    <w:rsid w:val="00D160B0"/>
    <w:rsid w:val="00D17F94"/>
    <w:rsid w:val="00D223FC"/>
    <w:rsid w:val="00D242CC"/>
    <w:rsid w:val="00D26D1E"/>
    <w:rsid w:val="00D3043C"/>
    <w:rsid w:val="00D317B1"/>
    <w:rsid w:val="00D33122"/>
    <w:rsid w:val="00D3726E"/>
    <w:rsid w:val="00D372FF"/>
    <w:rsid w:val="00D43A79"/>
    <w:rsid w:val="00D474CF"/>
    <w:rsid w:val="00D53610"/>
    <w:rsid w:val="00D5547E"/>
    <w:rsid w:val="00D57131"/>
    <w:rsid w:val="00D6683E"/>
    <w:rsid w:val="00D73B59"/>
    <w:rsid w:val="00D84868"/>
    <w:rsid w:val="00D86401"/>
    <w:rsid w:val="00D86E9C"/>
    <w:rsid w:val="00D90077"/>
    <w:rsid w:val="00D9022B"/>
    <w:rsid w:val="00D90A28"/>
    <w:rsid w:val="00D92208"/>
    <w:rsid w:val="00DA1920"/>
    <w:rsid w:val="00DA413F"/>
    <w:rsid w:val="00DA4584"/>
    <w:rsid w:val="00DA5AD8"/>
    <w:rsid w:val="00DA614B"/>
    <w:rsid w:val="00DA770A"/>
    <w:rsid w:val="00DB3FA9"/>
    <w:rsid w:val="00DB60B0"/>
    <w:rsid w:val="00DB72E9"/>
    <w:rsid w:val="00DC22E4"/>
    <w:rsid w:val="00DC3060"/>
    <w:rsid w:val="00DD153D"/>
    <w:rsid w:val="00DD2FED"/>
    <w:rsid w:val="00DD5636"/>
    <w:rsid w:val="00DD5CFF"/>
    <w:rsid w:val="00DD7F26"/>
    <w:rsid w:val="00DE0FB2"/>
    <w:rsid w:val="00DE147C"/>
    <w:rsid w:val="00DE17FE"/>
    <w:rsid w:val="00DE3DFA"/>
    <w:rsid w:val="00DE3EAB"/>
    <w:rsid w:val="00DF093E"/>
    <w:rsid w:val="00DF3BA7"/>
    <w:rsid w:val="00E01F42"/>
    <w:rsid w:val="00E06354"/>
    <w:rsid w:val="00E13F11"/>
    <w:rsid w:val="00E14793"/>
    <w:rsid w:val="00E15CD3"/>
    <w:rsid w:val="00E206D6"/>
    <w:rsid w:val="00E21BF3"/>
    <w:rsid w:val="00E24414"/>
    <w:rsid w:val="00E32306"/>
    <w:rsid w:val="00E33416"/>
    <w:rsid w:val="00E3366E"/>
    <w:rsid w:val="00E35417"/>
    <w:rsid w:val="00E52086"/>
    <w:rsid w:val="00E52920"/>
    <w:rsid w:val="00E543A6"/>
    <w:rsid w:val="00E60479"/>
    <w:rsid w:val="00E61D73"/>
    <w:rsid w:val="00E67E2E"/>
    <w:rsid w:val="00E73684"/>
    <w:rsid w:val="00E73F28"/>
    <w:rsid w:val="00E804D9"/>
    <w:rsid w:val="00E818D6"/>
    <w:rsid w:val="00E83003"/>
    <w:rsid w:val="00E83A64"/>
    <w:rsid w:val="00E84022"/>
    <w:rsid w:val="00E87F7A"/>
    <w:rsid w:val="00E95944"/>
    <w:rsid w:val="00E9621E"/>
    <w:rsid w:val="00E96BD7"/>
    <w:rsid w:val="00EA0DB1"/>
    <w:rsid w:val="00EA0EE9"/>
    <w:rsid w:val="00EA5E8F"/>
    <w:rsid w:val="00EB2D74"/>
    <w:rsid w:val="00EB5087"/>
    <w:rsid w:val="00EB56F2"/>
    <w:rsid w:val="00EC0818"/>
    <w:rsid w:val="00EC3AC3"/>
    <w:rsid w:val="00EC4F79"/>
    <w:rsid w:val="00EC772D"/>
    <w:rsid w:val="00ED52CA"/>
    <w:rsid w:val="00ED576F"/>
    <w:rsid w:val="00ED5860"/>
    <w:rsid w:val="00ED5A77"/>
    <w:rsid w:val="00EE35C9"/>
    <w:rsid w:val="00EE7A0D"/>
    <w:rsid w:val="00EF3F80"/>
    <w:rsid w:val="00EF4929"/>
    <w:rsid w:val="00EF699F"/>
    <w:rsid w:val="00EF6F9A"/>
    <w:rsid w:val="00F00DE8"/>
    <w:rsid w:val="00F01B59"/>
    <w:rsid w:val="00F04FBE"/>
    <w:rsid w:val="00F05ECA"/>
    <w:rsid w:val="00F16A77"/>
    <w:rsid w:val="00F16C45"/>
    <w:rsid w:val="00F22C2B"/>
    <w:rsid w:val="00F2753C"/>
    <w:rsid w:val="00F3566E"/>
    <w:rsid w:val="00F35889"/>
    <w:rsid w:val="00F375FB"/>
    <w:rsid w:val="00F41AC1"/>
    <w:rsid w:val="00F4367A"/>
    <w:rsid w:val="00F445B1"/>
    <w:rsid w:val="00F45CD4"/>
    <w:rsid w:val="00F50346"/>
    <w:rsid w:val="00F51E0E"/>
    <w:rsid w:val="00F52364"/>
    <w:rsid w:val="00F52CB3"/>
    <w:rsid w:val="00F53824"/>
    <w:rsid w:val="00F56D1D"/>
    <w:rsid w:val="00F601BD"/>
    <w:rsid w:val="00F60F98"/>
    <w:rsid w:val="00F61FE6"/>
    <w:rsid w:val="00F64631"/>
    <w:rsid w:val="00F66DCA"/>
    <w:rsid w:val="00F73DEB"/>
    <w:rsid w:val="00F74F53"/>
    <w:rsid w:val="00F7606D"/>
    <w:rsid w:val="00F81670"/>
    <w:rsid w:val="00F82024"/>
    <w:rsid w:val="00F84A65"/>
    <w:rsid w:val="00F86316"/>
    <w:rsid w:val="00F90DE3"/>
    <w:rsid w:val="00F91114"/>
    <w:rsid w:val="00F91151"/>
    <w:rsid w:val="00F913EC"/>
    <w:rsid w:val="00F9146C"/>
    <w:rsid w:val="00F9464C"/>
    <w:rsid w:val="00F95BC9"/>
    <w:rsid w:val="00F96AEA"/>
    <w:rsid w:val="00F978AD"/>
    <w:rsid w:val="00FA026E"/>
    <w:rsid w:val="00FA624C"/>
    <w:rsid w:val="00FB0E2E"/>
    <w:rsid w:val="00FB3372"/>
    <w:rsid w:val="00FB3DC5"/>
    <w:rsid w:val="00FB5C3E"/>
    <w:rsid w:val="00FB66F0"/>
    <w:rsid w:val="00FB6CFD"/>
    <w:rsid w:val="00FC3061"/>
    <w:rsid w:val="00FD0FAC"/>
    <w:rsid w:val="00FD1AFD"/>
    <w:rsid w:val="00FD1BFD"/>
    <w:rsid w:val="00FD1DFA"/>
    <w:rsid w:val="00FD4966"/>
    <w:rsid w:val="00FD6428"/>
    <w:rsid w:val="00FE57DC"/>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07234"/>
  <w15:docId w15:val="{5EE98546-AB92-445F-8C37-B86DC43A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EBE"/>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tabs>
        <w:tab w:val="left" w:pos="993"/>
      </w:tabs>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FooterChar">
    <w:name w:val="Footer Char"/>
    <w:aliases w:val="zzFooter Char"/>
    <w:basedOn w:val="DefaultParagraphFont"/>
    <w:link w:val="Footer"/>
    <w:uiPriority w:val="99"/>
    <w:rsid w:val="00543630"/>
    <w:rPr>
      <w:color w:val="000000"/>
      <w:sz w:val="18"/>
      <w:szCs w:val="24"/>
    </w:rPr>
  </w:style>
  <w:style w:type="character" w:styleId="UnresolvedMention">
    <w:name w:val="Unresolved Mention"/>
    <w:basedOn w:val="DefaultParagraphFont"/>
    <w:uiPriority w:val="99"/>
    <w:semiHidden/>
    <w:unhideWhenUsed/>
    <w:rsid w:val="00A9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8261">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11175500">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43972449">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99438828">
      <w:bodyDiv w:val="1"/>
      <w:marLeft w:val="0"/>
      <w:marRight w:val="0"/>
      <w:marTop w:val="0"/>
      <w:marBottom w:val="0"/>
      <w:divBdr>
        <w:top w:val="none" w:sz="0" w:space="0" w:color="auto"/>
        <w:left w:val="none" w:sz="0" w:space="0" w:color="auto"/>
        <w:bottom w:val="none" w:sz="0" w:space="0" w:color="auto"/>
        <w:right w:val="none" w:sz="0" w:space="0" w:color="auto"/>
      </w:divBdr>
    </w:div>
    <w:div w:id="1628511351">
      <w:bodyDiv w:val="1"/>
      <w:marLeft w:val="0"/>
      <w:marRight w:val="0"/>
      <w:marTop w:val="0"/>
      <w:marBottom w:val="0"/>
      <w:divBdr>
        <w:top w:val="none" w:sz="0" w:space="0" w:color="auto"/>
        <w:left w:val="none" w:sz="0" w:space="0" w:color="auto"/>
        <w:bottom w:val="none" w:sz="0" w:space="0" w:color="auto"/>
        <w:right w:val="none" w:sz="0" w:space="0" w:color="auto"/>
      </w:divBdr>
    </w:div>
    <w:div w:id="1852794131">
      <w:bodyDiv w:val="1"/>
      <w:marLeft w:val="0"/>
      <w:marRight w:val="0"/>
      <w:marTop w:val="0"/>
      <w:marBottom w:val="0"/>
      <w:divBdr>
        <w:top w:val="none" w:sz="0" w:space="0" w:color="auto"/>
        <w:left w:val="none" w:sz="0" w:space="0" w:color="auto"/>
        <w:bottom w:val="none" w:sz="0" w:space="0" w:color="auto"/>
        <w:right w:val="none" w:sz="0" w:space="0" w:color="auto"/>
      </w:divBdr>
    </w:div>
    <w:div w:id="20221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rtin@oxfor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2" ma:contentTypeDescription="Create a new document." ma:contentTypeScope="" ma:versionID="895af6ef96fcc1cbabbdf95133144ad3">
  <xsd:schema xmlns:xsd="http://www.w3.org/2001/XMLSchema" xmlns:xs="http://www.w3.org/2001/XMLSchema" xmlns:p="http://schemas.microsoft.com/office/2006/metadata/properties" xmlns:ns2="fdb8f1d2-729e-4e17-b922-d1876d49c6d9" targetNamespace="http://schemas.microsoft.com/office/2006/metadata/properties" ma:root="true" ma:fieldsID="0fdd767a2e81157f99857a0e1af04e18" ns2:_="">
    <xsd:import namespace="fdb8f1d2-729e-4e17-b922-d1876d49c6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E460-EE8C-47E7-942A-D767823043E6}">
  <ds:schemaRefs>
    <ds:schemaRef ds:uri="http://schemas.microsoft.com/sharepoint/v3/contenttype/forms"/>
  </ds:schemaRefs>
</ds:datastoreItem>
</file>

<file path=customXml/itemProps2.xml><?xml version="1.0" encoding="utf-8"?>
<ds:datastoreItem xmlns:ds="http://schemas.openxmlformats.org/officeDocument/2006/customXml" ds:itemID="{76A8C5F3-9895-493B-BD33-3D953D61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D755B-781C-49F0-925A-074BA5E55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0EB82-95F0-4DEC-B3DD-9C4294E3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1896</Words>
  <Characters>10189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MARTIN Roger</cp:lastModifiedBy>
  <cp:revision>7</cp:revision>
  <cp:lastPrinted>2015-07-03T12:50:00Z</cp:lastPrinted>
  <dcterms:created xsi:type="dcterms:W3CDTF">2025-01-08T08:09:00Z</dcterms:created>
  <dcterms:modified xsi:type="dcterms:W3CDTF">2025-01-08T08:18:00Z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